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C31DE3" w:rsidRPr="00A91B90" w:rsidP="00C31DE3" w14:paraId="7A598BF7" w14:textId="152D794E">
      <w:pPr>
        <w:rPr>
          <w:rFonts w:ascii="Arial" w:hAnsi="Arial" w:cs="Arial"/>
          <w:sz w:val="28"/>
          <w:szCs w:val="28"/>
        </w:rPr>
      </w:pPr>
      <w:r w:rsidRPr="00A91B90">
        <w:rPr>
          <w:rFonts w:ascii="Arial" w:hAnsi="Arial" w:cs="Arial"/>
          <w:b/>
          <w:bCs/>
          <w:sz w:val="28"/>
          <w:szCs w:val="28"/>
        </w:rPr>
        <w:t>Rutine for tilgjengeliggjøring av lærings</w:t>
      </w:r>
      <w:r w:rsidRPr="00A91B90">
        <w:rPr>
          <w:rFonts w:ascii="Arial" w:hAnsi="Arial" w:cs="Arial"/>
          <w:b/>
          <w:bCs/>
          <w:sz w:val="28"/>
          <w:szCs w:val="28"/>
        </w:rPr>
        <w:t>materiell for studenter</w:t>
      </w:r>
      <w:r w:rsidRPr="00A91B90">
        <w:rPr>
          <w:rFonts w:ascii="Arial" w:hAnsi="Arial" w:cs="Arial"/>
          <w:sz w:val="28"/>
          <w:szCs w:val="28"/>
        </w:rPr>
        <w:t> </w:t>
      </w:r>
    </w:p>
    <w:p w:rsidR="00C31DE3" w:rsidRPr="00C31DE3" w:rsidP="00C31DE3" w14:paraId="341D57C5" w14:textId="77777777">
      <w:pPr>
        <w:rPr>
          <w:rFonts w:ascii="Arial" w:hAnsi="Arial" w:cs="Arial"/>
          <w:b/>
          <w:bCs/>
          <w:szCs w:val="24"/>
        </w:rPr>
      </w:pPr>
    </w:p>
    <w:p w:rsidR="00C31DE3" w:rsidRPr="00C31DE3" w:rsidP="00C31DE3" w14:paraId="585B7B70" w14:textId="04D680F1">
      <w:pPr>
        <w:rPr>
          <w:rFonts w:ascii="Arial" w:hAnsi="Arial" w:cs="Arial"/>
          <w:szCs w:val="24"/>
        </w:rPr>
      </w:pPr>
      <w:r w:rsidRPr="00C31DE3">
        <w:rPr>
          <w:rFonts w:ascii="Arial" w:hAnsi="Arial" w:cs="Arial"/>
          <w:b/>
          <w:bCs/>
          <w:szCs w:val="24"/>
        </w:rPr>
        <w:t>Formål</w:t>
      </w:r>
      <w:r w:rsidRPr="00C31DE3">
        <w:rPr>
          <w:rFonts w:ascii="Arial" w:hAnsi="Arial" w:cs="Arial"/>
          <w:szCs w:val="24"/>
        </w:rPr>
        <w:t> </w:t>
      </w:r>
    </w:p>
    <w:p w:rsidR="00C31DE3" w:rsidP="00C31DE3" w14:paraId="489B6981" w14:textId="38D09DAC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Rutinen skal sikre at alle studenter har tilgang til nødvendig og relevant læringsmateriell</w:t>
      </w:r>
      <w:r>
        <w:rPr>
          <w:rFonts w:ascii="Arial" w:hAnsi="Arial" w:cs="Arial"/>
          <w:sz w:val="22"/>
          <w:szCs w:val="22"/>
        </w:rPr>
        <w:t>.</w:t>
      </w:r>
      <w:r w:rsidRPr="00C31DE3">
        <w:rPr>
          <w:rFonts w:ascii="Arial" w:hAnsi="Arial" w:cs="Arial"/>
          <w:sz w:val="22"/>
          <w:szCs w:val="22"/>
        </w:rPr>
        <w:t xml:space="preserve"> Målet er å legge til rette for fleksibel undervisning og læring som er tilpasset studentenes behov, uavhengig av tid og sted. </w:t>
      </w:r>
    </w:p>
    <w:p w:rsidR="00A91B90" w:rsidP="00C31DE3" w14:paraId="10F4FF27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25ACE463" w14:textId="3799BE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55245</wp:posOffset>
                </wp:positionV>
                <wp:extent cx="5695950" cy="2200275"/>
                <wp:effectExtent l="0" t="0" r="19050" b="28575"/>
                <wp:wrapNone/>
                <wp:docPr id="1797425841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959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B90" w:rsidRPr="00C31DE3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DEFINISJON </w:t>
                            </w: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A6EF9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Læringsmateriell er alle typer ressurser som brukes for å støtte læring og undervisning. </w:t>
                            </w:r>
                          </w:p>
                          <w:p w:rsidR="00CA6EF9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91B90" w:rsidRPr="00C31DE3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 kan inkludere både fysiske og digitale ressurser som: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PowerPoint-presentasjoner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Opptak av undervisning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Undervisnings-/temavideoer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Podkastepisoder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Fagartikler </w:t>
                            </w:r>
                          </w:p>
                          <w:p w:rsidR="00A91B90" w:rsidRPr="00C31DE3" w:rsidP="00A91B90" w14:textId="7777777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Øvingsoppgaver og quiz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</w:t>
                            </w: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91B90" w:rsidRPr="00C31DE3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91B90" w:rsidRPr="00C31DE3" w:rsidP="00A91B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Og annet innhold som kan hjelpe studenter med å forstå og mestre fagstoff. </w:t>
                            </w:r>
                          </w:p>
                          <w:p w:rsidR="00A91B9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5" type="#_x0000_t202" style="width:448.5pt;height:173.25pt;margin-top:4.35pt;margin-left:1.8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t" strokecolor="black" strokeweight="0.5pt">
                <v:textbox>
                  <w:txbxContent>
                    <w:p w:rsidR="00A91B90" w:rsidRPr="00C31DE3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DEFINISJON </w:t>
                      </w: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:rsidR="00CA6EF9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Læringsmateriell er alle typer ressurser som brukes for å støtte læring og undervisning. </w:t>
                      </w:r>
                    </w:p>
                    <w:p w:rsidR="00CA6EF9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91B90" w:rsidRPr="00C31DE3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Det kan inkludere både fysiske og digitale ressurser som: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PowerPoint-presentasjoner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Opptak av undervisning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Undervisnings-/temavideoer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Podkastepisoder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Fagartikler </w:t>
                      </w:r>
                    </w:p>
                    <w:p w:rsidR="00A91B90" w:rsidRPr="00C31DE3" w:rsidP="00A91B90" w14:textId="77777777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Øvingsoppgaver og quiz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</w:t>
                      </w: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:rsidR="00A91B90" w:rsidRPr="00C31DE3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:rsidR="00A91B90" w:rsidRPr="00C31DE3" w:rsidP="00A91B9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DE3">
                        <w:rPr>
                          <w:rFonts w:ascii="Arial" w:hAnsi="Arial" w:cs="Arial"/>
                          <w:sz w:val="22"/>
                          <w:szCs w:val="22"/>
                        </w:rPr>
                        <w:t>Og annet innhold som kan hjelpe studenter med å forstå og mestre fagstoff. </w:t>
                      </w:r>
                    </w:p>
                    <w:p w:rsidR="00A91B90" w14:textId="77777777"/>
                  </w:txbxContent>
                </v:textbox>
              </v:shape>
            </w:pict>
          </mc:Fallback>
        </mc:AlternateContent>
      </w:r>
    </w:p>
    <w:p w:rsidR="00A91B90" w:rsidP="00C31DE3" w14:paraId="639DDAA5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77A4205A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5DB9350B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73976642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76AF4B64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29C04D39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4F9AD7CD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2E84699A" w14:textId="77777777">
      <w:pPr>
        <w:rPr>
          <w:rFonts w:ascii="Arial" w:hAnsi="Arial" w:cs="Arial"/>
          <w:sz w:val="22"/>
          <w:szCs w:val="22"/>
        </w:rPr>
      </w:pPr>
    </w:p>
    <w:p w:rsidR="00A91B90" w:rsidP="00C31DE3" w14:paraId="6AA53468" w14:textId="77777777">
      <w:pPr>
        <w:rPr>
          <w:rFonts w:ascii="Arial" w:hAnsi="Arial" w:cs="Arial"/>
          <w:sz w:val="22"/>
          <w:szCs w:val="22"/>
        </w:rPr>
      </w:pPr>
    </w:p>
    <w:p w:rsidR="00A91B90" w:rsidRPr="00C31DE3" w:rsidP="00C31DE3" w14:paraId="31D809B4" w14:textId="77777777">
      <w:pPr>
        <w:rPr>
          <w:rFonts w:ascii="Arial" w:hAnsi="Arial" w:cs="Arial"/>
          <w:sz w:val="22"/>
          <w:szCs w:val="22"/>
        </w:rPr>
      </w:pPr>
    </w:p>
    <w:p w:rsidR="00C31DE3" w:rsidP="00C31DE3" w14:paraId="06742FD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C31DE3" w:rsidRPr="00C31DE3" w:rsidP="00C31DE3" w14:paraId="4CFC4047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CA6EF9" w:rsidP="00C31DE3" w14:paraId="0BABC90E" w14:textId="77777777">
      <w:pPr>
        <w:rPr>
          <w:rFonts w:ascii="Arial" w:hAnsi="Arial" w:cs="Arial"/>
          <w:sz w:val="22"/>
          <w:szCs w:val="22"/>
        </w:rPr>
      </w:pPr>
    </w:p>
    <w:p w:rsidR="00CA6EF9" w:rsidP="00C31DE3" w14:paraId="167AAE34" w14:textId="77777777">
      <w:pPr>
        <w:rPr>
          <w:rFonts w:ascii="Arial" w:hAnsi="Arial" w:cs="Arial"/>
          <w:sz w:val="22"/>
          <w:szCs w:val="22"/>
        </w:rPr>
      </w:pPr>
    </w:p>
    <w:p w:rsidR="00C31DE3" w:rsidRPr="00C31DE3" w:rsidP="00C31DE3" w14:paraId="043ACD5F" w14:textId="584CD455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Hensikten er å støtte læringsprosessen ved å tilby informasjon, eksempler og øvelser som styrker forståelse og </w:t>
      </w:r>
      <w:r w:rsidRPr="00C31DE3">
        <w:rPr>
          <w:rFonts w:ascii="Arial" w:hAnsi="Arial" w:cs="Arial"/>
          <w:sz w:val="22"/>
          <w:szCs w:val="22"/>
        </w:rPr>
        <w:t>kompetanse.  </w:t>
      </w:r>
    </w:p>
    <w:p w:rsidR="00C31DE3" w:rsidRPr="00C31DE3" w:rsidP="00C31DE3" w14:paraId="5EE5665D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A91B90" w:rsidP="00C31DE3" w14:paraId="2194E81C" w14:textId="77777777">
      <w:pPr>
        <w:rPr>
          <w:rFonts w:ascii="Arial" w:hAnsi="Arial" w:cs="Arial"/>
          <w:szCs w:val="24"/>
        </w:rPr>
      </w:pPr>
      <w:r w:rsidRPr="00A91B90">
        <w:rPr>
          <w:rFonts w:ascii="Arial" w:hAnsi="Arial" w:cs="Arial"/>
          <w:b/>
          <w:bCs/>
          <w:szCs w:val="24"/>
        </w:rPr>
        <w:t>Ansvar</w:t>
      </w:r>
      <w:r w:rsidRPr="00A91B90">
        <w:rPr>
          <w:rFonts w:ascii="Arial" w:hAnsi="Arial" w:cs="Arial"/>
          <w:szCs w:val="24"/>
        </w:rPr>
        <w:t> </w:t>
      </w:r>
    </w:p>
    <w:p w:rsidR="00C31DE3" w:rsidRPr="00C31DE3" w:rsidP="00C31DE3" w14:paraId="68994A58" w14:textId="7777777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Avdelingsleder</w:t>
      </w:r>
      <w:r w:rsidRPr="00C31DE3">
        <w:rPr>
          <w:rFonts w:ascii="Arial" w:hAnsi="Arial" w:cs="Arial"/>
          <w:sz w:val="22"/>
          <w:szCs w:val="22"/>
        </w:rPr>
        <w:t>: Har det overordnet ansvaret for etterlevelse av rutinen og for å gi nødvendig opplæring ved behov.  </w:t>
      </w:r>
    </w:p>
    <w:p w:rsidR="00C31DE3" w:rsidRPr="00C31DE3" w:rsidP="00C31DE3" w14:paraId="5BC5F971" w14:textId="44E888D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Faglærer</w:t>
      </w:r>
      <w:r w:rsidRPr="00C31DE3">
        <w:rPr>
          <w:rFonts w:ascii="Arial" w:hAnsi="Arial" w:cs="Arial"/>
          <w:sz w:val="22"/>
          <w:szCs w:val="22"/>
        </w:rPr>
        <w:t>: Ansvarlig for å utvikle og dele nødvendige læringsmatriell på Canvas i tråd med denne rutinen. </w:t>
      </w:r>
    </w:p>
    <w:p w:rsidR="00C31DE3" w:rsidRPr="00C31DE3" w:rsidP="00C31DE3" w14:paraId="54FF5E55" w14:textId="77777777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Eksterne forelesere</w:t>
      </w:r>
      <w:r w:rsidRPr="00C31DE3">
        <w:rPr>
          <w:rFonts w:ascii="Arial" w:hAnsi="Arial" w:cs="Arial"/>
          <w:sz w:val="22"/>
          <w:szCs w:val="22"/>
        </w:rPr>
        <w:t>: Skal følge de samme retningslinjene som faglærere og motta nødvendig opplæring ved behov. </w:t>
      </w:r>
    </w:p>
    <w:p w:rsidR="00C31DE3" w:rsidRPr="00C31DE3" w:rsidP="00C31DE3" w14:paraId="63D2CD80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A91B90" w:rsidP="00C31DE3" w14:paraId="2922938C" w14:textId="77777777">
      <w:pPr>
        <w:rPr>
          <w:rFonts w:ascii="Arial" w:hAnsi="Arial" w:cs="Arial"/>
          <w:szCs w:val="24"/>
        </w:rPr>
      </w:pPr>
      <w:r w:rsidRPr="00A91B90">
        <w:rPr>
          <w:rFonts w:ascii="Arial" w:hAnsi="Arial" w:cs="Arial"/>
          <w:b/>
          <w:bCs/>
          <w:szCs w:val="24"/>
        </w:rPr>
        <w:t>Målgruppe</w:t>
      </w:r>
      <w:r w:rsidRPr="00A91B90">
        <w:rPr>
          <w:rFonts w:ascii="Arial" w:hAnsi="Arial" w:cs="Arial"/>
          <w:szCs w:val="24"/>
        </w:rPr>
        <w:t> </w:t>
      </w:r>
    </w:p>
    <w:p w:rsidR="00C31DE3" w:rsidRPr="00C31DE3" w:rsidP="00C31DE3" w14:paraId="2E8338DA" w14:textId="63A41DFC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Gjelder alle faglærere ansatte og eksterne forelesere ved Fagskolen Vestfold og Telemark som underviser studenter. </w:t>
      </w:r>
    </w:p>
    <w:p w:rsidR="00C31DE3" w:rsidRPr="00C31DE3" w:rsidP="00C31DE3" w14:paraId="7B28D89C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A91B90" w:rsidP="00C31DE3" w14:paraId="690ADB92" w14:textId="77777777">
      <w:pPr>
        <w:rPr>
          <w:rFonts w:ascii="Arial" w:hAnsi="Arial" w:cs="Arial"/>
          <w:szCs w:val="24"/>
        </w:rPr>
      </w:pPr>
      <w:r w:rsidRPr="00A91B90">
        <w:rPr>
          <w:rFonts w:ascii="Arial" w:hAnsi="Arial" w:cs="Arial"/>
          <w:b/>
          <w:bCs/>
          <w:szCs w:val="24"/>
        </w:rPr>
        <w:t>Beskrivelse</w:t>
      </w:r>
      <w:r w:rsidRPr="00A91B90">
        <w:rPr>
          <w:rFonts w:ascii="Arial" w:hAnsi="Arial" w:cs="Arial"/>
          <w:szCs w:val="24"/>
        </w:rPr>
        <w:t> </w:t>
      </w:r>
    </w:p>
    <w:p w:rsidR="00C31DE3" w:rsidRPr="00C31DE3" w:rsidP="00C31DE3" w14:paraId="60965677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Undervisningens innhold skal være i samsvar med læringsutbyttebeskrivelsene som er fastsatt i studieplanen. Dette innebærer at undervisningen skal legge til rette for at studentene oppnår de forventede kunnskapene, ferdighetene og den generelle kompetansen som er beskrevet i studieplanen. </w:t>
      </w:r>
    </w:p>
    <w:p w:rsidR="00C31DE3" w:rsidP="00C31DE3" w14:paraId="09E7E06E" w14:textId="77777777">
      <w:pPr>
        <w:rPr>
          <w:rFonts w:ascii="Arial" w:hAnsi="Arial" w:cs="Arial"/>
          <w:sz w:val="22"/>
          <w:szCs w:val="22"/>
        </w:rPr>
      </w:pPr>
    </w:p>
    <w:p w:rsidR="00C31DE3" w:rsidRPr="00C31DE3" w:rsidP="00C31DE3" w14:paraId="027FF8B0" w14:textId="2A1F32AD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Som faglærer skal du tilgjengeliggjøre læringsmateriell for studentene. Uansett læringsmateriell du velger, så skal læringsmateriellet inneholde detaljert informasjon (som er knyttet til </w:t>
      </w:r>
      <w:r w:rsidRPr="00C31DE3">
        <w:rPr>
          <w:rFonts w:ascii="Arial" w:hAnsi="Arial" w:cs="Arial"/>
          <w:sz w:val="22"/>
          <w:szCs w:val="22"/>
        </w:rPr>
        <w:t>læringsutbyttebeskrivelsene K1,2 osv. F1,2 osv. og G1,2 osv.) som gjør det mulig for studenter å lese seg opp ved eventuelt fravær og repetere gjennomgått fagstoff uten direkte veiledning fra faglærer.  </w:t>
      </w:r>
    </w:p>
    <w:p w:rsidR="00C31DE3" w:rsidP="00C31DE3" w14:paraId="6342B4C9" w14:textId="77777777">
      <w:pPr>
        <w:rPr>
          <w:rFonts w:ascii="Arial" w:hAnsi="Arial" w:cs="Arial"/>
          <w:sz w:val="22"/>
          <w:szCs w:val="22"/>
        </w:rPr>
      </w:pPr>
    </w:p>
    <w:p w:rsidR="00C31DE3" w:rsidRPr="00C31DE3" w:rsidP="00C31DE3" w14:paraId="0274292B" w14:textId="1F999DAD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Læringsmateriellet skal være tilgjengelig for studentene på læringsplattformen Canvas helst før undervisningsøkten slik at de kan forberede seg, men som hovedregel senest to dager </w:t>
      </w:r>
      <w:r w:rsidRPr="00C31DE3">
        <w:rPr>
          <w:rFonts w:ascii="Arial" w:hAnsi="Arial" w:cs="Arial"/>
          <w:sz w:val="22"/>
          <w:szCs w:val="22"/>
        </w:rPr>
        <w:t>etter gjennomført undervisningsøkt og læringsmateriellet skal være tilgjengelig for studentene gjennom hele emnet.  </w:t>
      </w:r>
    </w:p>
    <w:p w:rsidR="00CA6EF9" w:rsidP="00C31DE3" w14:paraId="69632E96" w14:textId="77777777">
      <w:pPr>
        <w:rPr>
          <w:rFonts w:ascii="Arial" w:hAnsi="Arial" w:cs="Arial"/>
          <w:sz w:val="22"/>
          <w:szCs w:val="22"/>
        </w:rPr>
      </w:pPr>
    </w:p>
    <w:p w:rsidR="00C31DE3" w:rsidRPr="00C31DE3" w:rsidP="00C31DE3" w14:paraId="3D5C1710" w14:textId="2E861869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Canvas-rommet skal oppdateres jevnlig med alle relevante læringsressurser for å støtte studentenes læringsprosess. Alt innhold skal organiseres i henhold til </w:t>
      </w:r>
      <w:r w:rsidRPr="00C31DE3">
        <w:rPr>
          <w:rFonts w:ascii="Arial" w:hAnsi="Arial" w:cs="Arial"/>
          <w:i/>
          <w:iCs/>
          <w:sz w:val="22"/>
          <w:szCs w:val="22"/>
        </w:rPr>
        <w:t>Canvas-malen</w:t>
      </w:r>
      <w:r w:rsidRPr="00C31DE3">
        <w:rPr>
          <w:rFonts w:ascii="Arial" w:hAnsi="Arial" w:cs="Arial"/>
          <w:sz w:val="22"/>
          <w:szCs w:val="22"/>
        </w:rPr>
        <w:t xml:space="preserve"> for brukervennlighet. </w:t>
      </w:r>
    </w:p>
    <w:p w:rsidR="00C31DE3" w:rsidP="00C31DE3" w14:paraId="58300F50" w14:textId="77777777">
      <w:pPr>
        <w:rPr>
          <w:rFonts w:ascii="Arial" w:hAnsi="Arial" w:cs="Arial"/>
          <w:sz w:val="22"/>
          <w:szCs w:val="22"/>
        </w:rPr>
      </w:pPr>
    </w:p>
    <w:p w:rsidR="00C31DE3" w:rsidP="00C31DE3" w14:paraId="10ED9362" w14:textId="111E730A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Dersom du som faglærer velger å gjøre opptak av forelesninger eller produsere undervisnings-/temavideoer, må du følge fastsatte retningslinjer: </w:t>
      </w:r>
    </w:p>
    <w:p w:rsidR="00C31DE3" w:rsidRPr="00C31DE3" w:rsidP="00C31DE3" w14:paraId="0DE1A7EB" w14:textId="77777777">
      <w:pPr>
        <w:rPr>
          <w:rFonts w:ascii="Arial" w:hAnsi="Arial" w:cs="Arial"/>
          <w:sz w:val="22"/>
          <w:szCs w:val="22"/>
        </w:rPr>
      </w:pPr>
    </w:p>
    <w:p w:rsidR="00C31DE3" w:rsidRPr="00C31DE3" w:rsidP="00C31DE3" w14:paraId="053BC8E2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i/>
          <w:iCs/>
          <w:sz w:val="22"/>
          <w:szCs w:val="22"/>
        </w:rPr>
        <w:t>Opptak av forelesninger</w:t>
      </w:r>
      <w:r w:rsidRPr="00C31DE3">
        <w:rPr>
          <w:rFonts w:ascii="Arial" w:hAnsi="Arial" w:cs="Arial"/>
          <w:sz w:val="22"/>
          <w:szCs w:val="22"/>
        </w:rPr>
        <w:t> </w:t>
      </w:r>
    </w:p>
    <w:p w:rsidR="00C31DE3" w:rsidP="00C31DE3" w14:paraId="326ED8FC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For å støtte studentenes læringsprosess og tilrettelegge for studenter som ikke kan delta i sanntid, anbefales det at forelesninger tas opp og gjøres </w:t>
      </w:r>
      <w:r w:rsidRPr="00C31DE3">
        <w:rPr>
          <w:rFonts w:ascii="Arial" w:hAnsi="Arial" w:cs="Arial"/>
          <w:sz w:val="22"/>
          <w:szCs w:val="22"/>
        </w:rPr>
        <w:t>tilgjengelig.</w:t>
      </w:r>
    </w:p>
    <w:p w:rsidR="00C31DE3" w:rsidRPr="00C31DE3" w:rsidP="00C31DE3" w14:paraId="61963501" w14:textId="24F3A788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 </w:t>
      </w:r>
    </w:p>
    <w:p w:rsidR="00C31DE3" w:rsidRPr="00C31DE3" w:rsidP="00C31DE3" w14:paraId="5A7C5C53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Personvern</w:t>
      </w: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C31DE3" w:rsidP="00C31DE3" w14:paraId="6FEECABE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 xml:space="preserve">Ved opptak av forelesninger skal foreleser unngå å filme studenter direkte og sikre at skolens retningslinjer følges. </w:t>
      </w:r>
      <w:hyperlink r:id="rId4" w:tgtFrame="_blank" w:history="1">
        <w:r w:rsidRPr="00C31DE3">
          <w:rPr>
            <w:rStyle w:val="Hyperlink"/>
            <w:rFonts w:ascii="Arial" w:hAnsi="Arial" w:cs="Arial"/>
            <w:sz w:val="22"/>
            <w:szCs w:val="22"/>
          </w:rPr>
          <w:t>Retningslinjer for strømming og opptak av nettbasert undervisning for ansatte</w:t>
        </w:r>
      </w:hyperlink>
      <w:r w:rsidRPr="00C31DE3">
        <w:rPr>
          <w:rFonts w:ascii="Arial" w:hAnsi="Arial" w:cs="Arial"/>
          <w:sz w:val="22"/>
          <w:szCs w:val="22"/>
        </w:rPr>
        <w:t>. </w:t>
      </w:r>
    </w:p>
    <w:p w:rsidR="00C31DE3" w:rsidP="00C31DE3" w14:paraId="1435A0B2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C31DE3" w:rsidRPr="00C31DE3" w:rsidP="00C31DE3" w14:paraId="36E4DF1F" w14:textId="61870773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Lagring og deling av opptak</w:t>
      </w: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C31DE3" w:rsidP="00C31DE3" w14:paraId="05508B19" w14:textId="7777777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Fagskolens IKT-systemer skal benyttes for å sikre datasikkerhet. </w:t>
      </w:r>
    </w:p>
    <w:p w:rsidR="00C31DE3" w:rsidRPr="00C31DE3" w:rsidP="00C31DE3" w14:paraId="7DF4E198" w14:textId="58C5A15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Opptak i Zoom</w:t>
      </w:r>
      <w:r w:rsidRPr="00C31DE3">
        <w:rPr>
          <w:rFonts w:ascii="Arial" w:hAnsi="Arial" w:cs="Arial"/>
          <w:sz w:val="22"/>
          <w:szCs w:val="22"/>
        </w:rPr>
        <w:t xml:space="preserve">: Skal lagres i OneDrive, tilgangsstyres og deles gjennom læringsplattformen Canvas. </w:t>
      </w:r>
      <w:hyperlink r:id="rId5" w:tgtFrame="_blank" w:history="1">
        <w:r w:rsidRPr="00C31DE3">
          <w:rPr>
            <w:rStyle w:val="Hyperlink"/>
            <w:rFonts w:ascii="Arial" w:hAnsi="Arial" w:cs="Arial"/>
            <w:sz w:val="22"/>
            <w:szCs w:val="22"/>
          </w:rPr>
          <w:t>Se Brukerveiledning – Zoom opptak</w:t>
        </w:r>
      </w:hyperlink>
      <w:r w:rsidRPr="00C31DE3">
        <w:rPr>
          <w:rFonts w:ascii="Arial" w:hAnsi="Arial" w:cs="Arial"/>
          <w:sz w:val="22"/>
          <w:szCs w:val="22"/>
        </w:rPr>
        <w:t> </w:t>
      </w:r>
      <w:r w:rsidR="00CA6EF9">
        <w:rPr>
          <w:rFonts w:ascii="Arial" w:hAnsi="Arial" w:cs="Arial"/>
          <w:sz w:val="22"/>
          <w:szCs w:val="22"/>
        </w:rPr>
        <w:t xml:space="preserve"> og </w:t>
      </w:r>
      <w:hyperlink r:id="rId6" w:history="1">
        <w:r w:rsidRPr="00CA6EF9" w:rsidR="00CA6EF9">
          <w:rPr>
            <w:rStyle w:val="Hyperlink"/>
            <w:rFonts w:ascii="Arial" w:hAnsi="Arial" w:cs="Arial"/>
            <w:sz w:val="22"/>
            <w:szCs w:val="22"/>
          </w:rPr>
          <w:t>Deling av dokumenter med OneDrive</w:t>
        </w:r>
      </w:hyperlink>
    </w:p>
    <w:p w:rsidR="00C31DE3" w:rsidRPr="00C31DE3" w:rsidP="00C31DE3" w14:paraId="367F882B" w14:textId="7777777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b/>
          <w:bCs/>
          <w:sz w:val="22"/>
          <w:szCs w:val="22"/>
        </w:rPr>
        <w:t>Opptak i Teams</w:t>
      </w:r>
      <w:r w:rsidRPr="00C31DE3">
        <w:rPr>
          <w:rFonts w:ascii="Arial" w:hAnsi="Arial" w:cs="Arial"/>
          <w:sz w:val="22"/>
          <w:szCs w:val="22"/>
        </w:rPr>
        <w:t xml:space="preserve">: Lagres </w:t>
      </w:r>
      <w:r w:rsidRPr="00C31DE3">
        <w:rPr>
          <w:rFonts w:ascii="Arial" w:hAnsi="Arial" w:cs="Arial"/>
          <w:sz w:val="22"/>
          <w:szCs w:val="22"/>
        </w:rPr>
        <w:t>automatisk som OneDrive-filer i Office 365 (Stream). Opptak vil være tilgjengelig for alle studenter i kanalen der møtet ble holdt. </w:t>
      </w:r>
    </w:p>
    <w:p w:rsidR="00C31DE3" w:rsidRPr="00C31DE3" w:rsidP="00C31DE3" w14:paraId="5597AE84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C31DE3" w:rsidRPr="002024D4" w:rsidP="002024D4" w14:paraId="370ED013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024D4">
        <w:rPr>
          <w:rFonts w:ascii="Arial" w:hAnsi="Arial" w:cs="Arial"/>
          <w:b/>
          <w:bCs/>
          <w:i/>
          <w:iCs/>
          <w:sz w:val="22"/>
          <w:szCs w:val="22"/>
        </w:rPr>
        <w:t>Undervisningsvideoer og/eller podcastepisoder</w:t>
      </w:r>
      <w:r w:rsidRPr="002024D4">
        <w:rPr>
          <w:rFonts w:ascii="Arial" w:hAnsi="Arial" w:cs="Arial"/>
          <w:sz w:val="22"/>
          <w:szCs w:val="22"/>
        </w:rPr>
        <w:t> </w:t>
      </w:r>
    </w:p>
    <w:p w:rsidR="00C31DE3" w:rsidRPr="00C31DE3" w:rsidP="00C31DE3" w14:paraId="4E5145BD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Som et alternativ til direkte opptak kan forelesere lage og dele forhåndsinnspilte undervisningsvideoer som dekker forelesningstemaene. Videoene skal være oppdaterte i tråd med pensumendringer.   </w:t>
      </w:r>
    </w:p>
    <w:p w:rsidR="00C31DE3" w:rsidRPr="00C31DE3" w:rsidP="00C31DE3" w14:paraId="1EED3F86" w14:textId="77777777">
      <w:pPr>
        <w:rPr>
          <w:rFonts w:ascii="Arial" w:hAnsi="Arial" w:cs="Arial"/>
          <w:sz w:val="22"/>
          <w:szCs w:val="22"/>
        </w:rPr>
      </w:pPr>
      <w:r w:rsidRPr="00C31DE3">
        <w:rPr>
          <w:rFonts w:ascii="Arial" w:hAnsi="Arial" w:cs="Arial"/>
          <w:sz w:val="22"/>
          <w:szCs w:val="22"/>
        </w:rPr>
        <w:t> </w:t>
      </w:r>
    </w:p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Rutine for tilgjengeliggjøring av læringsmateriell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D00313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Rutine</w:t>
          </w:r>
          <w:r w:rsidRPr="00177AA7">
            <w:rPr>
              <w:rFonts w:ascii="Arial" w:hAnsi="Arial" w:cs="Arial"/>
            </w:rPr>
            <w:t xml:space="preserve"> for tilgjengeliggjøring av læringsmateriell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D00313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11.04.2025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7F1DB0"/>
    <w:multiLevelType w:val="multilevel"/>
    <w:tmpl w:val="4848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E5B59"/>
    <w:multiLevelType w:val="multilevel"/>
    <w:tmpl w:val="3940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ED260B"/>
    <w:multiLevelType w:val="multilevel"/>
    <w:tmpl w:val="6CECF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05B04"/>
    <w:multiLevelType w:val="multilevel"/>
    <w:tmpl w:val="E8E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EF1760"/>
    <w:multiLevelType w:val="multilevel"/>
    <w:tmpl w:val="000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2B43CF"/>
    <w:multiLevelType w:val="multilevel"/>
    <w:tmpl w:val="2D9C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087AC8"/>
    <w:multiLevelType w:val="multilevel"/>
    <w:tmpl w:val="4E1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553B25"/>
    <w:multiLevelType w:val="multilevel"/>
    <w:tmpl w:val="941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6A2C16"/>
    <w:multiLevelType w:val="multilevel"/>
    <w:tmpl w:val="03F0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4B1090"/>
    <w:multiLevelType w:val="hybridMultilevel"/>
    <w:tmpl w:val="4C64F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34F41"/>
    <w:multiLevelType w:val="multilevel"/>
    <w:tmpl w:val="60AE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3A3289"/>
    <w:multiLevelType w:val="multilevel"/>
    <w:tmpl w:val="FB8A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4D01B3"/>
    <w:multiLevelType w:val="multilevel"/>
    <w:tmpl w:val="C7C4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295C0B"/>
    <w:multiLevelType w:val="multilevel"/>
    <w:tmpl w:val="9DB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364C1A"/>
    <w:multiLevelType w:val="multilevel"/>
    <w:tmpl w:val="A05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FE0F30"/>
    <w:multiLevelType w:val="multilevel"/>
    <w:tmpl w:val="8FC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0F1C3C"/>
    <w:multiLevelType w:val="multilevel"/>
    <w:tmpl w:val="C9B0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997106"/>
    <w:multiLevelType w:val="multilevel"/>
    <w:tmpl w:val="709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1295150">
    <w:abstractNumId w:val="5"/>
  </w:num>
  <w:num w:numId="2" w16cid:durableId="1327628960">
    <w:abstractNumId w:val="0"/>
  </w:num>
  <w:num w:numId="3" w16cid:durableId="1605382722">
    <w:abstractNumId w:val="15"/>
  </w:num>
  <w:num w:numId="4" w16cid:durableId="299849300">
    <w:abstractNumId w:val="16"/>
  </w:num>
  <w:num w:numId="5" w16cid:durableId="545144563">
    <w:abstractNumId w:val="8"/>
  </w:num>
  <w:num w:numId="6" w16cid:durableId="404181821">
    <w:abstractNumId w:val="17"/>
  </w:num>
  <w:num w:numId="7" w16cid:durableId="927811645">
    <w:abstractNumId w:val="1"/>
  </w:num>
  <w:num w:numId="8" w16cid:durableId="1641110058">
    <w:abstractNumId w:val="12"/>
  </w:num>
  <w:num w:numId="9" w16cid:durableId="1326006151">
    <w:abstractNumId w:val="14"/>
  </w:num>
  <w:num w:numId="10" w16cid:durableId="487594920">
    <w:abstractNumId w:val="11"/>
  </w:num>
  <w:num w:numId="11" w16cid:durableId="1694454509">
    <w:abstractNumId w:val="6"/>
  </w:num>
  <w:num w:numId="12" w16cid:durableId="1923023286">
    <w:abstractNumId w:val="4"/>
  </w:num>
  <w:num w:numId="13" w16cid:durableId="889151484">
    <w:abstractNumId w:val="10"/>
  </w:num>
  <w:num w:numId="14" w16cid:durableId="854463672">
    <w:abstractNumId w:val="2"/>
  </w:num>
  <w:num w:numId="15" w16cid:durableId="1128280679">
    <w:abstractNumId w:val="13"/>
  </w:num>
  <w:num w:numId="16" w16cid:durableId="1911649753">
    <w:abstractNumId w:val="3"/>
  </w:num>
  <w:num w:numId="17" w16cid:durableId="463231785">
    <w:abstractNumId w:val="7"/>
  </w:num>
  <w:num w:numId="18" w16cid:durableId="38930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0B73F0"/>
    <w:rsid w:val="00103A9E"/>
    <w:rsid w:val="001064F7"/>
    <w:rsid w:val="00177AA7"/>
    <w:rsid w:val="001C7ECB"/>
    <w:rsid w:val="001E4A64"/>
    <w:rsid w:val="002024D4"/>
    <w:rsid w:val="00220D4A"/>
    <w:rsid w:val="00273DB9"/>
    <w:rsid w:val="00343B5E"/>
    <w:rsid w:val="003851F2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B722C"/>
    <w:rsid w:val="00715B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9B10D5"/>
    <w:rsid w:val="00A003CD"/>
    <w:rsid w:val="00A079C0"/>
    <w:rsid w:val="00A144F9"/>
    <w:rsid w:val="00A66087"/>
    <w:rsid w:val="00A91B90"/>
    <w:rsid w:val="00AE77A8"/>
    <w:rsid w:val="00AF395F"/>
    <w:rsid w:val="00B010DF"/>
    <w:rsid w:val="00B01EF4"/>
    <w:rsid w:val="00B218FA"/>
    <w:rsid w:val="00B35574"/>
    <w:rsid w:val="00BA0802"/>
    <w:rsid w:val="00BA2BB9"/>
    <w:rsid w:val="00C31DE3"/>
    <w:rsid w:val="00C51E1B"/>
    <w:rsid w:val="00CA6EF9"/>
    <w:rsid w:val="00D03B59"/>
    <w:rsid w:val="00DC7445"/>
    <w:rsid w:val="00E7117D"/>
    <w:rsid w:val="00E757DA"/>
    <w:rsid w:val="00EA2F48"/>
    <w:rsid w:val="00ED65EB"/>
    <w:rsid w:val="00EE23AC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character" w:styleId="Hyperlink">
    <w:name w:val="Hyperlink"/>
    <w:basedOn w:val="DefaultParagraphFont"/>
    <w:uiPriority w:val="99"/>
    <w:unhideWhenUsed/>
    <w:rsid w:val="00C31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1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s/pub/dok00254.htm" TargetMode="External" /><Relationship Id="rId5" Type="http://schemas.openxmlformats.org/officeDocument/2006/relationships/hyperlink" Target="https://telemarkfylke.sharepoint.com/:b:/r/sites/FAGS-Personalet/Delte%20dokumenter/Veiledninger/Zoom/Brukerveiledning%20-%20zoom%20opptak%20og%20deling%20i%20sharepoint%20one%20drive.pdf?csf=1&amp;web=1&amp;e=Wkc3ez" TargetMode="External" /><Relationship Id="rId6" Type="http://schemas.openxmlformats.org/officeDocument/2006/relationships/hyperlink" Target="https://fagskolenvt.dkhosting.no/docs/pub/dok00319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45</TotalTime>
  <Pages>2</Pages>
  <Words>440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tilgjengeliggjøring av læringsmateriell</dc:title>
  <dc:subject>Standard|[RefNr]|</dc:subject>
  <dc:creator>Handbok</dc:creator>
  <cp:lastModifiedBy>Heidi Behring Hansen</cp:lastModifiedBy>
  <cp:revision>17</cp:revision>
  <cp:lastPrinted>2021-03-26T13:15:00Z</cp:lastPrinted>
  <dcterms:created xsi:type="dcterms:W3CDTF">2021-04-19T11:33:00Z</dcterms:created>
  <dcterms:modified xsi:type="dcterms:W3CDTF">2025-04-10T11:26:00Z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Rutine for tilgjengeliggjøring av læringsmateriell</vt:lpwstr>
  </property>
  <property fmtid="{D5CDD505-2E9C-101B-9397-08002B2CF9AE}" pid="4" name="EK_DokType">
    <vt:lpwstr>Standard</vt:lpwstr>
  </property>
  <property fmtid="{D5CDD505-2E9C-101B-9397-08002B2CF9AE}" pid="5" name="EK_DokumentID">
    <vt:lpwstr>D00313</vt:lpwstr>
  </property>
  <property fmtid="{D5CDD505-2E9C-101B-9397-08002B2CF9AE}" pid="6" name="EK_GjelderFra">
    <vt:lpwstr>11.04.2025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</Properties>
</file>