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F57686" w14:paraId="46E9F606" w14:textId="6CCDEC9F">
      <w:pPr>
        <w:rPr>
          <w:rFonts w:ascii="Arial" w:hAnsi="Arial" w:cs="Arial"/>
          <w:sz w:val="22"/>
          <w:szCs w:val="22"/>
        </w:rPr>
      </w:pPr>
      <w:bookmarkStart w:id="0" w:name="tempHer"/>
      <w:bookmarkEnd w:id="0"/>
    </w:p>
    <w:p w:rsidR="0021740E" w:rsidRPr="0071371E" w14:paraId="4C130C57" w14:textId="77777777">
      <w:pPr>
        <w:rPr>
          <w:rFonts w:ascii="Arial" w:hAnsi="Arial" w:cs="Arial"/>
          <w:b/>
          <w:bCs/>
          <w:szCs w:val="24"/>
        </w:rPr>
      </w:pPr>
      <w:r w:rsidRPr="0071371E">
        <w:rPr>
          <w:rFonts w:ascii="Arial" w:hAnsi="Arial" w:cs="Arial"/>
          <w:b/>
          <w:bCs/>
          <w:szCs w:val="24"/>
        </w:rPr>
        <w:t xml:space="preserve">Her finner du en oversikt over regelverk på arbeidsmiljøområdet. </w:t>
      </w:r>
    </w:p>
    <w:p w:rsidR="0071371E" w14:paraId="00ECC56F" w14:textId="77777777">
      <w:pPr>
        <w:rPr>
          <w:rFonts w:ascii="Arial" w:hAnsi="Arial" w:cs="Arial"/>
          <w:szCs w:val="24"/>
        </w:rPr>
      </w:pPr>
    </w:p>
    <w:p w:rsidR="00DC7445" w:rsidRPr="0071371E" w14:paraId="03BD1577" w14:textId="392450A9">
      <w:pPr>
        <w:rPr>
          <w:rFonts w:ascii="Arial" w:hAnsi="Arial" w:cs="Arial"/>
          <w:szCs w:val="24"/>
        </w:rPr>
      </w:pPr>
      <w:r w:rsidRPr="0071371E">
        <w:rPr>
          <w:rFonts w:ascii="Arial" w:hAnsi="Arial" w:cs="Arial"/>
          <w:szCs w:val="24"/>
        </w:rPr>
        <w:t xml:space="preserve">Listen er ikke uttømmende, </w:t>
      </w:r>
      <w:r>
        <w:rPr>
          <w:rFonts w:ascii="Arial" w:hAnsi="Arial" w:cs="Arial"/>
          <w:szCs w:val="24"/>
        </w:rPr>
        <w:t>dv</w:t>
      </w:r>
      <w:r w:rsidRPr="00843DC1">
        <w:rPr>
          <w:rFonts w:ascii="Arial" w:hAnsi="Arial" w:cs="Arial"/>
          <w:szCs w:val="24"/>
        </w:rPr>
        <w:t>s. andre lover kan også være aktuelle. </w:t>
      </w:r>
      <w:r>
        <w:rPr>
          <w:rFonts w:ascii="Arial" w:hAnsi="Arial" w:cs="Arial"/>
          <w:szCs w:val="24"/>
        </w:rPr>
        <w:t>F</w:t>
      </w:r>
      <w:r w:rsidRPr="0071371E">
        <w:rPr>
          <w:rFonts w:ascii="Arial" w:hAnsi="Arial" w:cs="Arial"/>
          <w:szCs w:val="24"/>
        </w:rPr>
        <w:t xml:space="preserve">or nærmere informasjon </w:t>
      </w:r>
      <w:r w:rsidRPr="0071371E" w:rsidR="0071371E">
        <w:rPr>
          <w:rFonts w:ascii="Arial" w:hAnsi="Arial" w:cs="Arial"/>
          <w:szCs w:val="24"/>
        </w:rPr>
        <w:t xml:space="preserve">om regelverket </w:t>
      </w:r>
      <w:r w:rsidRPr="0071371E">
        <w:rPr>
          <w:rFonts w:ascii="Arial" w:hAnsi="Arial" w:cs="Arial"/>
          <w:szCs w:val="24"/>
        </w:rPr>
        <w:t xml:space="preserve">se </w:t>
      </w:r>
      <w:hyperlink r:id="rId4" w:history="1">
        <w:r w:rsidRPr="0071371E" w:rsidR="0071371E">
          <w:rPr>
            <w:rStyle w:val="Hyperlink"/>
            <w:rFonts w:ascii="Arial" w:hAnsi="Arial" w:cs="Arial"/>
            <w:szCs w:val="24"/>
          </w:rPr>
          <w:t>Arbeidstilsynets side</w:t>
        </w:r>
      </w:hyperlink>
      <w:r>
        <w:rPr>
          <w:rStyle w:val="Hyperlink"/>
          <w:rFonts w:ascii="Arial" w:hAnsi="Arial" w:cs="Arial"/>
          <w:szCs w:val="24"/>
        </w:rPr>
        <w:t>.</w:t>
      </w:r>
    </w:p>
    <w:p w:rsidR="00322F16" w:rsidRPr="0071371E" w14:paraId="56B3C5DA" w14:textId="77777777">
      <w:pPr>
        <w:rPr>
          <w:rFonts w:ascii="Arial" w:hAnsi="Arial" w:cs="Arial"/>
          <w:szCs w:val="24"/>
        </w:rPr>
      </w:pPr>
    </w:p>
    <w:tbl>
      <w:tblPr>
        <w:tblStyle w:val="TableGrid"/>
        <w:tblW w:w="0" w:type="auto"/>
        <w:tblLook w:val="04A0"/>
      </w:tblPr>
      <w:tblGrid>
        <w:gridCol w:w="3114"/>
        <w:gridCol w:w="5947"/>
      </w:tblGrid>
      <w:tr w14:paraId="711600B0" w14:textId="77777777" w:rsidTr="00DD22DA">
        <w:tblPrEx>
          <w:tblW w:w="0" w:type="auto"/>
          <w:tblLook w:val="04A0"/>
        </w:tblPrEx>
        <w:tc>
          <w:tcPr>
            <w:tcW w:w="3114" w:type="dxa"/>
            <w:shd w:val="clear" w:color="auto" w:fill="D9D9D9" w:themeFill="background1" w:themeFillShade="D9"/>
          </w:tcPr>
          <w:p w:rsidR="00DD22DA" w:rsidRPr="00A57352" w14:paraId="55D17539" w14:textId="1D30B718">
            <w:pPr>
              <w:rPr>
                <w:rFonts w:ascii="Arial" w:hAnsi="Arial" w:cs="Arial"/>
                <w:b/>
                <w:bCs/>
                <w:szCs w:val="24"/>
              </w:rPr>
            </w:pPr>
            <w:r w:rsidRPr="00A57352">
              <w:rPr>
                <w:rFonts w:ascii="Arial" w:hAnsi="Arial" w:cs="Arial"/>
                <w:b/>
                <w:bCs/>
                <w:szCs w:val="24"/>
              </w:rPr>
              <w:t>Lover/forskrifter</w:t>
            </w:r>
          </w:p>
        </w:tc>
        <w:tc>
          <w:tcPr>
            <w:tcW w:w="5947" w:type="dxa"/>
            <w:shd w:val="clear" w:color="auto" w:fill="D9D9D9" w:themeFill="background1" w:themeFillShade="D9"/>
          </w:tcPr>
          <w:p w:rsidR="00DD22DA" w:rsidRPr="00A57352" w14:paraId="0C9FCC37" w14:textId="77777777">
            <w:pPr>
              <w:rPr>
                <w:rFonts w:ascii="Arial" w:hAnsi="Arial" w:cs="Arial"/>
                <w:b/>
                <w:bCs/>
                <w:szCs w:val="24"/>
              </w:rPr>
            </w:pPr>
            <w:r w:rsidRPr="00A57352">
              <w:rPr>
                <w:rFonts w:ascii="Arial" w:hAnsi="Arial" w:cs="Arial"/>
                <w:b/>
                <w:bCs/>
                <w:szCs w:val="24"/>
              </w:rPr>
              <w:t>Forklaring</w:t>
            </w:r>
          </w:p>
          <w:p w:rsidR="0021740E" w:rsidRPr="00A57352" w14:paraId="5F8AF641" w14:textId="799FFD36">
            <w:pPr>
              <w:rPr>
                <w:rFonts w:ascii="Arial" w:hAnsi="Arial" w:cs="Arial"/>
                <w:b/>
                <w:bCs/>
                <w:szCs w:val="24"/>
              </w:rPr>
            </w:pPr>
          </w:p>
        </w:tc>
      </w:tr>
      <w:tr w14:paraId="60B0A55B" w14:textId="77777777" w:rsidTr="00DD22DA">
        <w:tblPrEx>
          <w:tblW w:w="0" w:type="auto"/>
          <w:tblLook w:val="04A0"/>
        </w:tblPrEx>
        <w:tc>
          <w:tcPr>
            <w:tcW w:w="3114" w:type="dxa"/>
          </w:tcPr>
          <w:p w:rsidR="00DD22DA" w14:paraId="74256169" w14:textId="3946638F">
            <w:pPr>
              <w:rPr>
                <w:rFonts w:ascii="Arial" w:hAnsi="Arial" w:cs="Arial"/>
                <w:sz w:val="22"/>
                <w:szCs w:val="22"/>
              </w:rPr>
            </w:pPr>
            <w:r w:rsidRPr="00A57352">
              <w:rPr>
                <w:rFonts w:ascii="Arial" w:hAnsi="Arial" w:cs="Arial"/>
                <w:sz w:val="22"/>
                <w:szCs w:val="22"/>
              </w:rPr>
              <w:t>Lov om arbeidsmiljø, arbeidstid og stillingsvern mv. (arbeidsmiljøloven)</w:t>
            </w:r>
          </w:p>
        </w:tc>
        <w:tc>
          <w:tcPr>
            <w:tcW w:w="5947" w:type="dxa"/>
          </w:tcPr>
          <w:p w:rsidR="00DD22DA" w14:paraId="4933AC5D" w14:textId="77777777">
            <w:pPr>
              <w:rPr>
                <w:rFonts w:ascii="Arial" w:hAnsi="Arial" w:cs="Arial"/>
                <w:sz w:val="22"/>
                <w:szCs w:val="22"/>
              </w:rPr>
            </w:pPr>
            <w:r w:rsidRPr="00DD22DA">
              <w:rPr>
                <w:rFonts w:ascii="Arial" w:hAnsi="Arial" w:cs="Arial"/>
                <w:sz w:val="22"/>
                <w:szCs w:val="22"/>
              </w:rPr>
              <w:t>Arbeidsmiljøloven har som hovedmål å sikre et trygt, sikkert og helsefremmende arbeidsmiljø for alle arbeidstakere. Loven inneholder bestemmelser om blant annet arbeidsmiljø, arbeidstid, stillingsvern, tilsyn og krav til systematisk helse-, miljø- og sikkerhetsarbeid (HMS).</w:t>
            </w:r>
          </w:p>
          <w:p w:rsidR="001C6B9E" w14:paraId="617D5A35" w14:textId="77777777">
            <w:pPr>
              <w:rPr>
                <w:rFonts w:ascii="Arial" w:hAnsi="Arial" w:cs="Arial"/>
                <w:sz w:val="22"/>
                <w:szCs w:val="22"/>
              </w:rPr>
            </w:pPr>
          </w:p>
          <w:p w:rsidR="001C6B9E" w14:paraId="5916F48D" w14:textId="565FB25B">
            <w:pPr>
              <w:rPr>
                <w:rFonts w:ascii="Arial" w:hAnsi="Arial" w:cs="Arial"/>
                <w:sz w:val="22"/>
                <w:szCs w:val="22"/>
              </w:rPr>
            </w:pPr>
            <w:r w:rsidRPr="001C6B9E">
              <w:rPr>
                <w:rFonts w:ascii="Arial" w:hAnsi="Arial" w:cs="Arial"/>
                <w:sz w:val="22"/>
                <w:szCs w:val="22"/>
              </w:rPr>
              <w:t>Loven har flere forskrifter som utdyper kravene i regelverket med mer detaljerte bestemmelser. </w:t>
            </w:r>
          </w:p>
        </w:tc>
      </w:tr>
      <w:tr w14:paraId="2827405F" w14:textId="77777777" w:rsidTr="00DD22DA">
        <w:tblPrEx>
          <w:tblW w:w="0" w:type="auto"/>
          <w:tblLook w:val="04A0"/>
        </w:tblPrEx>
        <w:tc>
          <w:tcPr>
            <w:tcW w:w="3114" w:type="dxa"/>
          </w:tcPr>
          <w:p w:rsidR="00A57352" w:rsidRPr="00A57352" w:rsidP="00A57352" w14:paraId="61E766BE" w14:textId="77777777">
            <w:pPr>
              <w:rPr>
                <w:rFonts w:ascii="Arial" w:hAnsi="Arial" w:cs="Arial"/>
                <w:sz w:val="22"/>
                <w:szCs w:val="22"/>
              </w:rPr>
            </w:pPr>
            <w:r w:rsidRPr="00A57352">
              <w:rPr>
                <w:rFonts w:ascii="Arial" w:hAnsi="Arial" w:cs="Arial"/>
                <w:sz w:val="22"/>
                <w:szCs w:val="22"/>
              </w:rPr>
              <w:t>Lov om høyere yrkesfaglig utdanning (fagskoleloven)</w:t>
            </w:r>
          </w:p>
          <w:p w:rsidR="0021740E" w14:paraId="0D2F36C1" w14:textId="7742A1E3">
            <w:pPr>
              <w:rPr>
                <w:rFonts w:ascii="Arial" w:hAnsi="Arial" w:cs="Arial"/>
                <w:sz w:val="22"/>
                <w:szCs w:val="22"/>
              </w:rPr>
            </w:pPr>
          </w:p>
        </w:tc>
        <w:tc>
          <w:tcPr>
            <w:tcW w:w="5947" w:type="dxa"/>
          </w:tcPr>
          <w:p w:rsidR="0021740E" w14:paraId="02244AC8" w14:textId="71143D5F">
            <w:pPr>
              <w:rPr>
                <w:rFonts w:ascii="Arial" w:hAnsi="Arial" w:cs="Arial"/>
                <w:sz w:val="22"/>
                <w:szCs w:val="22"/>
              </w:rPr>
            </w:pPr>
            <w:r>
              <w:rPr>
                <w:rFonts w:ascii="Arial" w:hAnsi="Arial" w:cs="Arial"/>
                <w:sz w:val="22"/>
                <w:szCs w:val="22"/>
              </w:rPr>
              <w:t>F</w:t>
            </w:r>
            <w:r w:rsidRPr="0021740E">
              <w:rPr>
                <w:rFonts w:ascii="Arial" w:hAnsi="Arial" w:cs="Arial"/>
                <w:sz w:val="22"/>
                <w:szCs w:val="22"/>
              </w:rPr>
              <w:t xml:space="preserve">agskoleloven gir Arbeidstilsynet tilsynsmyndighet for studentenes læringsmiljø, se </w:t>
            </w:r>
            <w:r w:rsidRPr="00A57352">
              <w:rPr>
                <w:rFonts w:ascii="Arial" w:hAnsi="Arial" w:cs="Arial"/>
                <w:b/>
                <w:bCs/>
                <w:sz w:val="22"/>
                <w:szCs w:val="22"/>
              </w:rPr>
              <w:t>loven § 15</w:t>
            </w:r>
            <w:r w:rsidR="009B42DD">
              <w:rPr>
                <w:rFonts w:ascii="Arial" w:hAnsi="Arial" w:cs="Arial"/>
                <w:sz w:val="22"/>
                <w:szCs w:val="22"/>
              </w:rPr>
              <w:t>,</w:t>
            </w:r>
            <w:r>
              <w:rPr>
                <w:rFonts w:ascii="Arial" w:hAnsi="Arial" w:cs="Arial"/>
                <w:sz w:val="22"/>
                <w:szCs w:val="22"/>
              </w:rPr>
              <w:t xml:space="preserve"> som omhandler studentenes Læringsmiljø</w:t>
            </w:r>
          </w:p>
          <w:p w:rsidR="0021740E" w14:paraId="3BB3F14C" w14:textId="77777777">
            <w:pPr>
              <w:rPr>
                <w:rFonts w:ascii="Arial" w:hAnsi="Arial" w:cs="Arial"/>
                <w:sz w:val="22"/>
                <w:szCs w:val="22"/>
              </w:rPr>
            </w:pPr>
          </w:p>
          <w:p w:rsidR="009B42DD" w:rsidRPr="00DD22DA" w14:paraId="67544D52" w14:textId="0F1B5058">
            <w:pPr>
              <w:rPr>
                <w:rFonts w:ascii="Arial" w:hAnsi="Arial" w:cs="Arial"/>
                <w:sz w:val="22"/>
                <w:szCs w:val="22"/>
              </w:rPr>
            </w:pPr>
            <w:r w:rsidRPr="009B42DD">
              <w:rPr>
                <w:rFonts w:ascii="Arial" w:hAnsi="Arial" w:cs="Arial"/>
                <w:sz w:val="22"/>
                <w:szCs w:val="22"/>
              </w:rPr>
              <w:t>Styret har ansvaret for at læringsmiljøet og det fysiske og psykiske arbeidsmiljøet er fullt forsvarlig med hensyn til studentenes helse, sikkerhet og velferd.</w:t>
            </w:r>
          </w:p>
        </w:tc>
      </w:tr>
      <w:tr w14:paraId="251F2806" w14:textId="77777777" w:rsidTr="00DD22DA">
        <w:tblPrEx>
          <w:tblW w:w="0" w:type="auto"/>
          <w:tblLook w:val="04A0"/>
        </w:tblPrEx>
        <w:tc>
          <w:tcPr>
            <w:tcW w:w="3114" w:type="dxa"/>
          </w:tcPr>
          <w:p w:rsidR="00DD22DA" w14:paraId="73C46F9E" w14:textId="4A29C2D9">
            <w:pPr>
              <w:rPr>
                <w:rFonts w:ascii="Arial" w:hAnsi="Arial" w:cs="Arial"/>
                <w:sz w:val="22"/>
                <w:szCs w:val="22"/>
              </w:rPr>
            </w:pPr>
            <w:r>
              <w:rPr>
                <w:rFonts w:ascii="Arial" w:hAnsi="Arial" w:cs="Arial"/>
                <w:sz w:val="22"/>
                <w:szCs w:val="22"/>
              </w:rPr>
              <w:t>Lov om ferie (ferieloven)</w:t>
            </w:r>
          </w:p>
        </w:tc>
        <w:tc>
          <w:tcPr>
            <w:tcW w:w="5947" w:type="dxa"/>
          </w:tcPr>
          <w:p w:rsidR="00DD22DA" w14:paraId="51FAFF40" w14:textId="6FCFDF7D">
            <w:pPr>
              <w:rPr>
                <w:rFonts w:ascii="Arial" w:hAnsi="Arial" w:cs="Arial"/>
                <w:sz w:val="22"/>
                <w:szCs w:val="22"/>
              </w:rPr>
            </w:pPr>
            <w:r w:rsidRPr="00FA2255">
              <w:rPr>
                <w:rFonts w:ascii="Arial" w:hAnsi="Arial" w:cs="Arial"/>
                <w:sz w:val="22"/>
                <w:szCs w:val="22"/>
              </w:rPr>
              <w:t>Ferieloven regulerer arbeidstakeres rett til ferie og feriepenger. Loven har som formål å sikre alle arbeidstakere en årlig ferie</w:t>
            </w:r>
            <w:r>
              <w:rPr>
                <w:rFonts w:ascii="Arial" w:hAnsi="Arial" w:cs="Arial"/>
                <w:sz w:val="22"/>
                <w:szCs w:val="22"/>
              </w:rPr>
              <w:t>.</w:t>
            </w:r>
          </w:p>
        </w:tc>
      </w:tr>
      <w:tr w14:paraId="5930A1F9" w14:textId="77777777" w:rsidTr="00DD22DA">
        <w:tblPrEx>
          <w:tblW w:w="0" w:type="auto"/>
          <w:tblLook w:val="04A0"/>
        </w:tblPrEx>
        <w:tc>
          <w:tcPr>
            <w:tcW w:w="3114" w:type="dxa"/>
          </w:tcPr>
          <w:p w:rsidR="00AA6132" w14:paraId="7267D147" w14:textId="6CD64BC9">
            <w:pPr>
              <w:rPr>
                <w:rFonts w:ascii="Arial" w:hAnsi="Arial" w:cs="Arial"/>
                <w:sz w:val="22"/>
                <w:szCs w:val="22"/>
              </w:rPr>
            </w:pPr>
            <w:r w:rsidRPr="00AA6132">
              <w:rPr>
                <w:rFonts w:ascii="Arial" w:hAnsi="Arial" w:cs="Arial"/>
                <w:sz w:val="22"/>
                <w:szCs w:val="22"/>
              </w:rPr>
              <w:t xml:space="preserve">Forskrift om organisering ledelse, og </w:t>
            </w:r>
            <w:r w:rsidRPr="00AA6132">
              <w:rPr>
                <w:rFonts w:ascii="Arial" w:hAnsi="Arial" w:cs="Arial"/>
                <w:sz w:val="22"/>
                <w:szCs w:val="22"/>
              </w:rPr>
              <w:t>medvirkning</w:t>
            </w:r>
          </w:p>
        </w:tc>
        <w:tc>
          <w:tcPr>
            <w:tcW w:w="5947" w:type="dxa"/>
          </w:tcPr>
          <w:p w:rsidR="00AA6132" w14:paraId="3AF57CBE" w14:textId="24A75013">
            <w:pPr>
              <w:rPr>
                <w:rFonts w:ascii="Arial" w:hAnsi="Arial" w:cs="Arial"/>
                <w:sz w:val="22"/>
                <w:szCs w:val="22"/>
              </w:rPr>
            </w:pPr>
            <w:r>
              <w:rPr>
                <w:rFonts w:ascii="Arial" w:hAnsi="Arial" w:cs="Arial"/>
                <w:sz w:val="22"/>
                <w:szCs w:val="22"/>
              </w:rPr>
              <w:t xml:space="preserve">Forskriften har </w:t>
            </w:r>
            <w:r w:rsidRPr="00AA6132">
              <w:rPr>
                <w:rFonts w:ascii="Arial" w:hAnsi="Arial" w:cs="Arial"/>
                <w:sz w:val="22"/>
                <w:szCs w:val="22"/>
              </w:rPr>
              <w:t>bestemmelser med gjennomgående krav </w:t>
            </w:r>
            <w:r>
              <w:rPr>
                <w:rFonts w:ascii="Arial" w:hAnsi="Arial" w:cs="Arial"/>
                <w:sz w:val="22"/>
                <w:szCs w:val="22"/>
              </w:rPr>
              <w:t>som gjelder bla.:</w:t>
            </w:r>
          </w:p>
          <w:p w:rsidR="00AA6132" w:rsidRPr="00AA6132" w:rsidP="00AA6132" w14:paraId="0ECC6C0F" w14:textId="77777777">
            <w:pPr>
              <w:numPr>
                <w:ilvl w:val="0"/>
                <w:numId w:val="1"/>
              </w:numPr>
              <w:rPr>
                <w:rFonts w:ascii="Arial" w:hAnsi="Arial" w:cs="Arial"/>
                <w:sz w:val="22"/>
                <w:szCs w:val="22"/>
              </w:rPr>
            </w:pPr>
            <w:r w:rsidRPr="00AA6132">
              <w:rPr>
                <w:rFonts w:ascii="Arial" w:hAnsi="Arial" w:cs="Arial"/>
                <w:sz w:val="22"/>
                <w:szCs w:val="22"/>
              </w:rPr>
              <w:t>medvirkning fra arbeidstakerne og deres representanter</w:t>
            </w:r>
          </w:p>
          <w:p w:rsidR="00AA6132" w:rsidRPr="00AA6132" w:rsidP="00AA6132" w14:paraId="535A3658" w14:textId="77777777">
            <w:pPr>
              <w:numPr>
                <w:ilvl w:val="0"/>
                <w:numId w:val="1"/>
              </w:numPr>
              <w:rPr>
                <w:rFonts w:ascii="Arial" w:hAnsi="Arial" w:cs="Arial"/>
                <w:sz w:val="22"/>
                <w:szCs w:val="22"/>
              </w:rPr>
            </w:pPr>
            <w:r w:rsidRPr="00AA6132">
              <w:rPr>
                <w:rFonts w:ascii="Arial" w:hAnsi="Arial" w:cs="Arial"/>
                <w:sz w:val="22"/>
                <w:szCs w:val="22"/>
              </w:rPr>
              <w:t>verneombud og arbeidsmiljøutvalg</w:t>
            </w:r>
          </w:p>
          <w:p w:rsidR="00AA6132" w:rsidRPr="00AA6132" w:rsidP="00AA6132" w14:paraId="46E39EF7" w14:textId="77777777">
            <w:pPr>
              <w:numPr>
                <w:ilvl w:val="0"/>
                <w:numId w:val="1"/>
              </w:numPr>
              <w:rPr>
                <w:rFonts w:ascii="Arial" w:hAnsi="Arial" w:cs="Arial"/>
                <w:sz w:val="22"/>
                <w:szCs w:val="22"/>
              </w:rPr>
            </w:pPr>
            <w:r w:rsidRPr="00AA6132">
              <w:rPr>
                <w:rFonts w:ascii="Arial" w:hAnsi="Arial" w:cs="Arial"/>
                <w:sz w:val="22"/>
                <w:szCs w:val="22"/>
              </w:rPr>
              <w:t>lokale og regionale verneombud</w:t>
            </w:r>
          </w:p>
          <w:p w:rsidR="00AA6132" w:rsidRPr="00AA6132" w:rsidP="00AA6132" w14:paraId="25565122" w14:textId="77777777">
            <w:pPr>
              <w:numPr>
                <w:ilvl w:val="0"/>
                <w:numId w:val="1"/>
              </w:numPr>
              <w:rPr>
                <w:rFonts w:ascii="Arial" w:hAnsi="Arial" w:cs="Arial"/>
                <w:sz w:val="22"/>
                <w:szCs w:val="22"/>
              </w:rPr>
            </w:pPr>
            <w:r w:rsidRPr="00AA6132">
              <w:rPr>
                <w:rFonts w:ascii="Arial" w:hAnsi="Arial" w:cs="Arial"/>
                <w:sz w:val="22"/>
                <w:szCs w:val="22"/>
              </w:rPr>
              <w:t>risikovurdering</w:t>
            </w:r>
          </w:p>
          <w:p w:rsidR="00AA6132" w:rsidRPr="00AA6132" w:rsidP="00AA6132" w14:paraId="7B73524D" w14:textId="77777777">
            <w:pPr>
              <w:numPr>
                <w:ilvl w:val="0"/>
                <w:numId w:val="1"/>
              </w:numPr>
              <w:rPr>
                <w:rFonts w:ascii="Arial" w:hAnsi="Arial" w:cs="Arial"/>
                <w:sz w:val="22"/>
                <w:szCs w:val="22"/>
              </w:rPr>
            </w:pPr>
            <w:r w:rsidRPr="00AA6132">
              <w:rPr>
                <w:rFonts w:ascii="Arial" w:hAnsi="Arial" w:cs="Arial"/>
                <w:sz w:val="22"/>
                <w:szCs w:val="22"/>
              </w:rPr>
              <w:t>opplæring og informasjon til arbeidstakere</w:t>
            </w:r>
          </w:p>
          <w:p w:rsidR="00AA6132" w:rsidRPr="00AA6132" w:rsidP="00AA6132" w14:paraId="122942B8" w14:textId="77777777">
            <w:pPr>
              <w:numPr>
                <w:ilvl w:val="0"/>
                <w:numId w:val="1"/>
              </w:numPr>
              <w:rPr>
                <w:rFonts w:ascii="Arial" w:hAnsi="Arial" w:cs="Arial"/>
                <w:sz w:val="22"/>
                <w:szCs w:val="22"/>
              </w:rPr>
            </w:pPr>
            <w:r w:rsidRPr="00AA6132">
              <w:rPr>
                <w:rFonts w:ascii="Arial" w:hAnsi="Arial" w:cs="Arial"/>
                <w:sz w:val="22"/>
                <w:szCs w:val="22"/>
              </w:rPr>
              <w:t>planlegging og sikker drift</w:t>
            </w:r>
          </w:p>
          <w:p w:rsidR="00AA6132" w:rsidRPr="00AA6132" w:rsidP="00AA6132" w14:paraId="53F1524D" w14:textId="77777777">
            <w:pPr>
              <w:numPr>
                <w:ilvl w:val="0"/>
                <w:numId w:val="1"/>
              </w:numPr>
              <w:rPr>
                <w:rFonts w:ascii="Arial" w:hAnsi="Arial" w:cs="Arial"/>
                <w:sz w:val="22"/>
                <w:szCs w:val="22"/>
              </w:rPr>
            </w:pPr>
            <w:r w:rsidRPr="00AA6132">
              <w:rPr>
                <w:rFonts w:ascii="Arial" w:hAnsi="Arial" w:cs="Arial"/>
                <w:sz w:val="22"/>
                <w:szCs w:val="22"/>
              </w:rPr>
              <w:t>arbeidsinstruks</w:t>
            </w:r>
          </w:p>
          <w:p w:rsidR="00AA6132" w:rsidRPr="00AA6132" w:rsidP="00AA6132" w14:paraId="6BEF3C6C" w14:textId="77777777">
            <w:pPr>
              <w:numPr>
                <w:ilvl w:val="0"/>
                <w:numId w:val="1"/>
              </w:numPr>
              <w:rPr>
                <w:rFonts w:ascii="Arial" w:hAnsi="Arial" w:cs="Arial"/>
                <w:sz w:val="22"/>
                <w:szCs w:val="22"/>
              </w:rPr>
            </w:pPr>
            <w:r w:rsidRPr="00AA6132">
              <w:rPr>
                <w:rFonts w:ascii="Arial" w:hAnsi="Arial" w:cs="Arial"/>
                <w:sz w:val="22"/>
                <w:szCs w:val="22"/>
              </w:rPr>
              <w:t>arbeid av barn og unge</w:t>
            </w:r>
          </w:p>
          <w:p w:rsidR="00AA6132" w:rsidRPr="00AA6132" w:rsidP="00AA6132" w14:paraId="53EDDD04" w14:textId="77777777">
            <w:pPr>
              <w:numPr>
                <w:ilvl w:val="0"/>
                <w:numId w:val="1"/>
              </w:numPr>
              <w:rPr>
                <w:rFonts w:ascii="Arial" w:hAnsi="Arial" w:cs="Arial"/>
                <w:sz w:val="22"/>
                <w:szCs w:val="22"/>
              </w:rPr>
            </w:pPr>
            <w:r w:rsidRPr="00AA6132">
              <w:rPr>
                <w:rFonts w:ascii="Arial" w:hAnsi="Arial" w:cs="Arial"/>
                <w:sz w:val="22"/>
                <w:szCs w:val="22"/>
              </w:rPr>
              <w:t>bruk av personlig verneutstyr</w:t>
            </w:r>
          </w:p>
          <w:p w:rsidR="00AA6132" w:rsidRPr="00FA2255" w:rsidP="00AA6132" w14:paraId="13D478F2" w14:textId="485AB80E">
            <w:pPr>
              <w:rPr>
                <w:rFonts w:ascii="Arial" w:hAnsi="Arial" w:cs="Arial"/>
                <w:sz w:val="22"/>
                <w:szCs w:val="22"/>
              </w:rPr>
            </w:pPr>
          </w:p>
        </w:tc>
      </w:tr>
      <w:tr w14:paraId="67BAEDFC" w14:textId="77777777" w:rsidTr="00DD22DA">
        <w:tblPrEx>
          <w:tblW w:w="0" w:type="auto"/>
          <w:tblLook w:val="04A0"/>
        </w:tblPrEx>
        <w:tc>
          <w:tcPr>
            <w:tcW w:w="3114" w:type="dxa"/>
          </w:tcPr>
          <w:p w:rsidR="00DD22DA" w14:paraId="374F25A1" w14:textId="2F1C9E9C">
            <w:pPr>
              <w:rPr>
                <w:rFonts w:ascii="Arial" w:hAnsi="Arial" w:cs="Arial"/>
                <w:sz w:val="22"/>
                <w:szCs w:val="22"/>
              </w:rPr>
            </w:pPr>
            <w:r w:rsidRPr="00FA2255">
              <w:rPr>
                <w:rFonts w:ascii="Arial" w:hAnsi="Arial" w:cs="Arial"/>
                <w:sz w:val="22"/>
                <w:szCs w:val="22"/>
              </w:rPr>
              <w:t xml:space="preserve">Forskrift om utforming og innretning av arbeidsplasser, arbeidslokaler og innkvartering </w:t>
            </w:r>
            <w:r w:rsidRPr="00A57352">
              <w:rPr>
                <w:rFonts w:ascii="Arial" w:hAnsi="Arial" w:cs="Arial"/>
                <w:sz w:val="22"/>
                <w:szCs w:val="22"/>
              </w:rPr>
              <w:t>(arbeidsplassforskriften)</w:t>
            </w:r>
          </w:p>
        </w:tc>
        <w:tc>
          <w:tcPr>
            <w:tcW w:w="5947" w:type="dxa"/>
          </w:tcPr>
          <w:p w:rsidR="00DD22DA" w14:paraId="726354D9" w14:textId="262C96D3">
            <w:pPr>
              <w:rPr>
                <w:rFonts w:ascii="Arial" w:hAnsi="Arial" w:cs="Arial"/>
                <w:sz w:val="22"/>
                <w:szCs w:val="22"/>
              </w:rPr>
            </w:pPr>
            <w:r w:rsidRPr="00FA2255">
              <w:rPr>
                <w:rFonts w:ascii="Arial" w:hAnsi="Arial" w:cs="Arial"/>
                <w:sz w:val="22"/>
                <w:szCs w:val="22"/>
              </w:rPr>
              <w:t xml:space="preserve">Arbeidsplassforskriften stiller krav til hvordan arbeidsplasser skal utformes og innrettes for å sikre helse, miljø og sikkerhet for arbeidstakere. </w:t>
            </w:r>
          </w:p>
        </w:tc>
      </w:tr>
      <w:tr w14:paraId="78DF9F07" w14:textId="77777777" w:rsidTr="00DD22DA">
        <w:tblPrEx>
          <w:tblW w:w="0" w:type="auto"/>
          <w:tblLook w:val="04A0"/>
        </w:tblPrEx>
        <w:tc>
          <w:tcPr>
            <w:tcW w:w="3114" w:type="dxa"/>
          </w:tcPr>
          <w:p w:rsidR="00FA2255" w:rsidRPr="00FA2255" w14:paraId="1CA4E772" w14:textId="29973731">
            <w:pPr>
              <w:rPr>
                <w:rFonts w:ascii="Arial" w:hAnsi="Arial" w:cs="Arial"/>
                <w:sz w:val="22"/>
                <w:szCs w:val="22"/>
              </w:rPr>
            </w:pPr>
            <w:r w:rsidRPr="00322F16">
              <w:rPr>
                <w:rFonts w:ascii="Arial" w:hAnsi="Arial" w:cs="Arial"/>
                <w:sz w:val="22"/>
                <w:szCs w:val="22"/>
              </w:rPr>
              <w:t xml:space="preserve">Forskrift om utførelse av arbeid, bruk av arbeidsutstyr og tilhørende tekniske krav </w:t>
            </w:r>
            <w:r w:rsidRPr="00A57352">
              <w:rPr>
                <w:rFonts w:ascii="Arial" w:hAnsi="Arial" w:cs="Arial"/>
                <w:sz w:val="22"/>
                <w:szCs w:val="22"/>
              </w:rPr>
              <w:t>(forskrift om utførelse av arbeid)</w:t>
            </w:r>
          </w:p>
        </w:tc>
        <w:tc>
          <w:tcPr>
            <w:tcW w:w="5947" w:type="dxa"/>
          </w:tcPr>
          <w:p w:rsidR="00FA2255" w14:paraId="4372CB22" w14:textId="77777777">
            <w:pPr>
              <w:rPr>
                <w:rFonts w:ascii="Arial" w:hAnsi="Arial" w:cs="Arial"/>
                <w:sz w:val="22"/>
                <w:szCs w:val="22"/>
              </w:rPr>
            </w:pPr>
            <w:r w:rsidRPr="00322F16">
              <w:rPr>
                <w:rFonts w:ascii="Arial" w:hAnsi="Arial" w:cs="Arial"/>
                <w:sz w:val="22"/>
                <w:szCs w:val="22"/>
              </w:rPr>
              <w:t xml:space="preserve">Forskrift om utførelse av arbeid setter krav til bruk av arbeidsutstyr og til typer arbeid og </w:t>
            </w:r>
            <w:r w:rsidRPr="00322F16">
              <w:rPr>
                <w:rFonts w:ascii="Arial" w:hAnsi="Arial" w:cs="Arial"/>
                <w:sz w:val="22"/>
                <w:szCs w:val="22"/>
              </w:rPr>
              <w:t>arbeidsoperasjoner hvor arbeidstakere kan bli utsatt for fare.</w:t>
            </w:r>
          </w:p>
          <w:p w:rsidR="00322F16" w14:paraId="3F05573D" w14:textId="77777777">
            <w:pPr>
              <w:rPr>
                <w:rFonts w:ascii="Arial" w:hAnsi="Arial" w:cs="Arial"/>
                <w:sz w:val="22"/>
                <w:szCs w:val="22"/>
              </w:rPr>
            </w:pPr>
          </w:p>
          <w:p w:rsidR="00322F16" w:rsidRPr="00FA2255" w14:paraId="7D4FC904" w14:textId="3F24DDEB">
            <w:pPr>
              <w:rPr>
                <w:rFonts w:ascii="Arial" w:hAnsi="Arial" w:cs="Arial"/>
                <w:sz w:val="22"/>
                <w:szCs w:val="22"/>
              </w:rPr>
            </w:pPr>
            <w:r>
              <w:rPr>
                <w:rFonts w:ascii="Arial" w:hAnsi="Arial" w:cs="Arial"/>
                <w:sz w:val="22"/>
                <w:szCs w:val="22"/>
              </w:rPr>
              <w:t xml:space="preserve">Forskriften stiller krav om stoffkartotek for </w:t>
            </w:r>
            <w:r w:rsidRPr="00322F16">
              <w:rPr>
                <w:rFonts w:ascii="Arial" w:hAnsi="Arial" w:cs="Arial"/>
                <w:sz w:val="22"/>
                <w:szCs w:val="22"/>
              </w:rPr>
              <w:t>farlige kjemikaliene som kan medføre helsefare</w:t>
            </w:r>
            <w:r>
              <w:rPr>
                <w:rFonts w:ascii="Arial" w:hAnsi="Arial" w:cs="Arial"/>
                <w:sz w:val="22"/>
                <w:szCs w:val="22"/>
              </w:rPr>
              <w:t>.</w:t>
            </w:r>
          </w:p>
        </w:tc>
      </w:tr>
      <w:tr w14:paraId="1CD96B43" w14:textId="77777777" w:rsidTr="00DD22DA">
        <w:tblPrEx>
          <w:tblW w:w="0" w:type="auto"/>
          <w:tblLook w:val="04A0"/>
        </w:tblPrEx>
        <w:tc>
          <w:tcPr>
            <w:tcW w:w="3114" w:type="dxa"/>
          </w:tcPr>
          <w:p w:rsidR="0021740E" w:rsidRPr="00322F16" w:rsidP="0021740E" w14:paraId="7ED0F83D" w14:textId="45427C44">
            <w:pPr>
              <w:rPr>
                <w:rFonts w:ascii="Arial" w:hAnsi="Arial" w:cs="Arial"/>
                <w:sz w:val="22"/>
                <w:szCs w:val="22"/>
              </w:rPr>
            </w:pPr>
            <w:r w:rsidRPr="0021740E">
              <w:rPr>
                <w:rFonts w:ascii="Arial" w:hAnsi="Arial" w:cs="Arial"/>
                <w:sz w:val="22"/>
                <w:szCs w:val="22"/>
              </w:rPr>
              <w:t xml:space="preserve">Forskrift om systematisk helse-, miljø- og </w:t>
            </w:r>
            <w:r w:rsidRPr="0021740E">
              <w:rPr>
                <w:rFonts w:ascii="Arial" w:hAnsi="Arial" w:cs="Arial"/>
                <w:sz w:val="22"/>
                <w:szCs w:val="22"/>
              </w:rPr>
              <w:t xml:space="preserve">sikkerhetsarbeid i virksomheter </w:t>
            </w:r>
            <w:r w:rsidRPr="0021740E">
              <w:rPr>
                <w:rFonts w:ascii="Arial" w:hAnsi="Arial" w:cs="Arial"/>
                <w:b/>
                <w:bCs/>
                <w:sz w:val="22"/>
                <w:szCs w:val="22"/>
              </w:rPr>
              <w:t>(Internkontrollforskriften</w:t>
            </w:r>
            <w:r w:rsidRPr="0021740E">
              <w:rPr>
                <w:rFonts w:ascii="Arial" w:hAnsi="Arial" w:cs="Arial"/>
                <w:sz w:val="22"/>
                <w:szCs w:val="22"/>
              </w:rPr>
              <w:t>)</w:t>
            </w:r>
          </w:p>
        </w:tc>
        <w:tc>
          <w:tcPr>
            <w:tcW w:w="5947" w:type="dxa"/>
          </w:tcPr>
          <w:p w:rsidR="00322F16" w14:paraId="13BA73DF" w14:textId="77777777">
            <w:pPr>
              <w:rPr>
                <w:rFonts w:ascii="Arial" w:hAnsi="Arial" w:cs="Arial"/>
                <w:sz w:val="22"/>
                <w:szCs w:val="22"/>
              </w:rPr>
            </w:pPr>
            <w:r>
              <w:rPr>
                <w:rFonts w:ascii="Arial" w:hAnsi="Arial" w:cs="Arial"/>
                <w:sz w:val="22"/>
                <w:szCs w:val="22"/>
              </w:rPr>
              <w:t>In</w:t>
            </w:r>
            <w:r w:rsidRPr="0021740E">
              <w:rPr>
                <w:rFonts w:ascii="Arial" w:hAnsi="Arial" w:cs="Arial"/>
                <w:sz w:val="22"/>
                <w:szCs w:val="22"/>
              </w:rPr>
              <w:t xml:space="preserve">ternkontrollforskriften krever at den som leder virksomheten sørger for systematisk oppfølging av krav </w:t>
            </w:r>
            <w:r w:rsidRPr="0021740E">
              <w:rPr>
                <w:rFonts w:ascii="Arial" w:hAnsi="Arial" w:cs="Arial"/>
                <w:sz w:val="22"/>
                <w:szCs w:val="22"/>
              </w:rPr>
              <w:t>regelverket stiller til helse, miljø og sikkerhet (HMS) i sin virksomhet. Dette skal gjøres i samarbeid med arbeidstakerne og deres representanter.</w:t>
            </w:r>
          </w:p>
          <w:p w:rsidR="0021740E" w14:paraId="56E43960" w14:textId="77777777">
            <w:pPr>
              <w:rPr>
                <w:rFonts w:ascii="Arial" w:hAnsi="Arial" w:cs="Arial"/>
                <w:sz w:val="22"/>
                <w:szCs w:val="22"/>
              </w:rPr>
            </w:pPr>
          </w:p>
          <w:p w:rsidR="0021740E" w:rsidRPr="00322F16" w14:paraId="31D03DA3" w14:textId="20C0AE3B">
            <w:pPr>
              <w:rPr>
                <w:rFonts w:ascii="Arial" w:hAnsi="Arial" w:cs="Arial"/>
                <w:sz w:val="22"/>
                <w:szCs w:val="22"/>
              </w:rPr>
            </w:pPr>
            <w:r w:rsidRPr="0021740E">
              <w:rPr>
                <w:rFonts w:ascii="Arial" w:hAnsi="Arial" w:cs="Arial"/>
                <w:sz w:val="22"/>
                <w:szCs w:val="22"/>
              </w:rPr>
              <w:t>Forskriften er også kjent som «HMS-forskriften».</w:t>
            </w:r>
          </w:p>
        </w:tc>
      </w:tr>
      <w:tr w14:paraId="39B785DA" w14:textId="77777777" w:rsidTr="00DD22DA">
        <w:tblPrEx>
          <w:tblW w:w="0" w:type="auto"/>
          <w:tblLook w:val="04A0"/>
        </w:tblPrEx>
        <w:tc>
          <w:tcPr>
            <w:tcW w:w="3114" w:type="dxa"/>
          </w:tcPr>
          <w:p w:rsidR="0021740E" w:rsidRPr="0021740E" w:rsidP="0021740E" w14:paraId="3F950F63" w14:textId="7278BE33">
            <w:pPr>
              <w:rPr>
                <w:rFonts w:ascii="Arial" w:hAnsi="Arial" w:cs="Arial"/>
                <w:sz w:val="22"/>
                <w:szCs w:val="22"/>
              </w:rPr>
            </w:pPr>
            <w:r w:rsidRPr="0021740E">
              <w:rPr>
                <w:rFonts w:ascii="Arial" w:hAnsi="Arial" w:cs="Arial"/>
                <w:sz w:val="22"/>
                <w:szCs w:val="22"/>
              </w:rPr>
              <w:t>Forskrift om arbeid som utføres i arbeidstakers hjem</w:t>
            </w:r>
          </w:p>
        </w:tc>
        <w:tc>
          <w:tcPr>
            <w:tcW w:w="5947" w:type="dxa"/>
          </w:tcPr>
          <w:p w:rsidR="0021740E" w:rsidRPr="0021740E" w:rsidP="0021740E" w14:paraId="528FF33B" w14:textId="2700120F">
            <w:pPr>
              <w:rPr>
                <w:rFonts w:ascii="Arial" w:hAnsi="Arial" w:cs="Arial"/>
                <w:sz w:val="22"/>
                <w:szCs w:val="22"/>
              </w:rPr>
            </w:pPr>
            <w:r>
              <w:rPr>
                <w:rFonts w:ascii="Arial" w:hAnsi="Arial" w:cs="Arial"/>
                <w:sz w:val="22"/>
                <w:szCs w:val="22"/>
              </w:rPr>
              <w:t xml:space="preserve">Forskriften gjelder </w:t>
            </w:r>
            <w:r w:rsidRPr="0021740E">
              <w:rPr>
                <w:rFonts w:ascii="Arial" w:hAnsi="Arial" w:cs="Arial"/>
                <w:sz w:val="22"/>
                <w:szCs w:val="22"/>
              </w:rPr>
              <w:t>for arbeid som arbeidstaker utfører i sitt eget hjem.</w:t>
            </w:r>
          </w:p>
          <w:p w:rsidR="0021740E" w:rsidP="0021740E" w14:paraId="45BC5569" w14:textId="77777777">
            <w:pPr>
              <w:rPr>
                <w:rFonts w:ascii="Arial" w:hAnsi="Arial" w:cs="Arial"/>
                <w:sz w:val="22"/>
                <w:szCs w:val="22"/>
              </w:rPr>
            </w:pPr>
          </w:p>
          <w:p w:rsidR="0021740E" w:rsidRPr="0021740E" w:rsidP="0021740E" w14:paraId="7773127F" w14:textId="48C196A0">
            <w:pPr>
              <w:rPr>
                <w:rFonts w:ascii="Arial" w:hAnsi="Arial" w:cs="Arial"/>
                <w:sz w:val="22"/>
                <w:szCs w:val="22"/>
              </w:rPr>
            </w:pPr>
            <w:r w:rsidRPr="0021740E">
              <w:rPr>
                <w:rFonts w:ascii="Arial" w:hAnsi="Arial" w:cs="Arial"/>
                <w:sz w:val="22"/>
                <w:szCs w:val="22"/>
              </w:rPr>
              <w:t>Den gjelder når arbeid, avtalt og over tid, utføres hjemme hos arbeidstakeren. Det kan for eksempel være avtale om hjemmekontor over tid. Hvis hjemmearbeidet er tilfeldig eller bare for en kort periode, faller det utenfor forskriftens bestemmelser.</w:t>
            </w:r>
          </w:p>
          <w:p w:rsidR="0021740E" w14:paraId="547C2580" w14:textId="149979D7">
            <w:pPr>
              <w:rPr>
                <w:rFonts w:ascii="Arial" w:hAnsi="Arial" w:cs="Arial"/>
                <w:sz w:val="22"/>
                <w:szCs w:val="22"/>
              </w:rPr>
            </w:pPr>
          </w:p>
        </w:tc>
      </w:tr>
    </w:tbl>
    <w:p w:rsidR="00447791" w:rsidRPr="003F549F" w14:paraId="124F350C" w14:textId="77777777">
      <w:pPr>
        <w:rPr>
          <w:rFonts w:ascii="Arial" w:hAnsi="Arial" w:cs="Arial"/>
          <w:sz w:val="22"/>
          <w:szCs w:val="22"/>
        </w:rPr>
      </w:pPr>
    </w:p>
    <w:p w:rsidR="00870E37" w:rsidRPr="003F549F"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5" w:history="1">
              <w:r>
                <w:rPr>
                  <w:b w:val="0"/>
                  <w:color w:val="0000FF"/>
                  <w:u w:val="single"/>
                </w:rPr>
                <w:t>D00032</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 xml:space="preserve">A15 Lover og forskrifter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D00150</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A15-2 Sentrale lover med forskrifter ved behandling av personopplysninger</w:t>
              </w:r>
            </w:hyperlink>
          </w:p>
        </w:tc>
      </w:tr>
    </w:tbl>
    <w:p w:rsidR="0084674B" w:rsidRPr="003F549F" w14:paraId="57533F11" w14:textId="77777777">
      <w:pPr>
        <w:rPr>
          <w:rFonts w:ascii="Arial" w:hAnsi="Arial" w:cs="Arial"/>
          <w:sz w:val="22"/>
          <w:szCs w:val="22"/>
        </w:rPr>
      </w:pPr>
      <w:bookmarkEnd w:id="1"/>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hyperlink r:id="rId7" w:history="1">
              <w:r>
                <w:rPr>
                  <w:b w:val="0"/>
                  <w:color w:val="0000FF"/>
                  <w:u w:val="single"/>
                </w:rPr>
                <w:t xml:space="preserve"> Lov om arbeidsmiljø, arbeidstid og stillingsvern mv. (arbeidsmiljøloven)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 xml:space="preserve"> Lov om høyere yrkesfaglig utdanning (fagskoleloven)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 xml:space="preserve"> Oversikt over sentrale forskrifter som er hjemlet i Arbeidsmiljøloven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 xml:space="preserve"> Forskrift om systematisk helse-, miljø- og sikkerhetsarbeid i virksomheter (Internkontrollforskriften)</w:t>
              </w:r>
            </w:hyperlink>
          </w:p>
        </w:tc>
      </w:tr>
    </w:tbl>
    <w:p w:rsidR="0084674B" w:rsidRPr="003F549F" w14:paraId="0A1160A5" w14:textId="77777777">
      <w:pPr>
        <w:rPr>
          <w:rFonts w:ascii="Arial" w:hAnsi="Arial" w:cs="Arial"/>
          <w:sz w:val="22"/>
          <w:szCs w:val="22"/>
        </w:rPr>
      </w:pPr>
      <w:bookmarkEnd w:id="2"/>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11"/>
      <w:head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DC7445" w14:paraId="7805294C" w14:textId="77777777">
          <w:pPr>
            <w:rPr>
              <w:rFonts w:ascii="Arial" w:hAnsi="Arial" w:cs="Arial"/>
              <w:bCs/>
              <w:sz w:val="22"/>
              <w:szCs w:val="22"/>
            </w:rPr>
          </w:pPr>
          <w:r w:rsidRPr="00DC7445">
            <w:rPr>
              <w:rFonts w:ascii="Arial" w:hAnsi="Arial" w:cs="Arial"/>
              <w:bCs/>
              <w:sz w:val="20"/>
            </w:rPr>
            <w:fldChar w:fldCharType="begin" w:fldLock="1"/>
          </w:r>
          <w:r w:rsidRPr="00DC7445">
            <w:rPr>
              <w:rFonts w:ascii="Arial" w:hAnsi="Arial" w:cs="Arial"/>
              <w:bCs/>
              <w:sz w:val="20"/>
            </w:rPr>
            <w:instrText>DOCPROPERTY EK_DokTittel \*charformat</w:instrText>
          </w:r>
          <w:r w:rsidRPr="00DC7445">
            <w:rPr>
              <w:rFonts w:ascii="Arial" w:hAnsi="Arial" w:cs="Arial"/>
              <w:bCs/>
              <w:sz w:val="20"/>
            </w:rPr>
            <w:fldChar w:fldCharType="separate"/>
          </w:r>
          <w:r w:rsidRPr="00DC7445">
            <w:rPr>
              <w:rFonts w:ascii="Arial" w:hAnsi="Arial" w:cs="Arial"/>
              <w:bCs/>
              <w:sz w:val="20"/>
            </w:rPr>
            <w:t>A15-1 Oversikt over HMS-lovgivningen</w:t>
          </w:r>
          <w:r w:rsidRPr="00DC7445">
            <w:rPr>
              <w:rFonts w:ascii="Arial" w:hAnsi="Arial" w:cs="Arial"/>
              <w:bCs/>
              <w:sz w:val="20"/>
            </w:rPr>
            <w:fldChar w:fldCharType="end"/>
          </w:r>
        </w:p>
      </w:tc>
      <w:tc>
        <w:tcPr>
          <w:tcW w:w="2126" w:type="dxa"/>
        </w:tcPr>
        <w:p w:rsidR="00F05185" w:rsidRPr="00DC7445" w14:paraId="790E3ADF" w14:textId="77777777">
          <w:pPr>
            <w:tabs>
              <w:tab w:val="left" w:pos="590"/>
            </w:tabs>
            <w:spacing w:before="40" w:after="20"/>
            <w:rPr>
              <w:rFonts w:ascii="Arial" w:hAnsi="Arial" w:cs="Arial"/>
              <w:bCs/>
              <w:sz w:val="20"/>
              <w:lang w:val="nn-NO"/>
            </w:rPr>
          </w:pPr>
          <w:r w:rsidRPr="00DC7445">
            <w:rPr>
              <w:rFonts w:ascii="Arial" w:hAnsi="Arial" w:cs="Arial"/>
              <w:bCs/>
              <w:sz w:val="16"/>
              <w:lang w:val="nn-NO"/>
            </w:rPr>
            <w:t>Dok.id.:</w:t>
          </w:r>
          <w:r w:rsidRPr="00DC7445">
            <w:rPr>
              <w:rFonts w:ascii="Arial" w:hAnsi="Arial" w:cs="Arial"/>
              <w:bCs/>
              <w:sz w:val="16"/>
              <w:lang w:val="nn-NO"/>
            </w:rPr>
            <w:tab/>
          </w:r>
          <w:r w:rsidRPr="00DC7445" w:rsidR="004423E6">
            <w:rPr>
              <w:rFonts w:ascii="Arial" w:hAnsi="Arial" w:cs="Arial"/>
              <w:bCs/>
              <w:sz w:val="20"/>
            </w:rPr>
            <w:fldChar w:fldCharType="begin" w:fldLock="1"/>
          </w:r>
          <w:r w:rsidRPr="00DC7445" w:rsidR="004423E6">
            <w:rPr>
              <w:rFonts w:ascii="Arial" w:hAnsi="Arial" w:cs="Arial"/>
              <w:bCs/>
              <w:sz w:val="20"/>
              <w:lang w:val="nn-NO"/>
            </w:rPr>
            <w:instrText xml:space="preserve"> DOCPROPERTY EK_DokumentID \*charformat \* MERGEFORMAT </w:instrText>
          </w:r>
          <w:r w:rsidRPr="00DC7445" w:rsidR="004423E6">
            <w:rPr>
              <w:rFonts w:ascii="Arial" w:hAnsi="Arial" w:cs="Arial"/>
              <w:bCs/>
              <w:sz w:val="20"/>
            </w:rPr>
            <w:fldChar w:fldCharType="separate"/>
          </w:r>
          <w:r w:rsidRPr="00DC7445" w:rsidR="00ED65EB">
            <w:rPr>
              <w:rFonts w:ascii="Arial" w:hAnsi="Arial" w:cs="Arial"/>
              <w:bCs/>
              <w:sz w:val="20"/>
              <w:lang w:val="nn-NO"/>
            </w:rPr>
            <w:t>D00280</w:t>
          </w:r>
          <w:r w:rsidRPr="00DC7445" w:rsidR="004423E6">
            <w:rPr>
              <w:rFonts w:ascii="Arial" w:hAnsi="Arial" w:cs="Arial"/>
              <w:bCs/>
              <w:sz w:val="20"/>
            </w:rPr>
            <w:fldChar w:fldCharType="end"/>
          </w:r>
          <w:r w:rsidRPr="00DC7445" w:rsidR="004423E6">
            <w:rPr>
              <w:rFonts w:ascii="Arial" w:hAnsi="Arial" w:cs="Arial"/>
              <w:bCs/>
              <w:sz w:val="20"/>
              <w:lang w:val="nn-NO"/>
            </w:rPr>
            <w:t xml:space="preserve"> </w:t>
          </w:r>
        </w:p>
        <w:p w:rsidR="00F05185" w:rsidRPr="00DC7445" w14:paraId="31F57D5D" w14:textId="77777777">
          <w:pPr>
            <w:tabs>
              <w:tab w:val="left" w:pos="590"/>
              <w:tab w:val="left" w:pos="639"/>
            </w:tabs>
            <w:spacing w:before="20" w:after="20"/>
            <w:rPr>
              <w:rFonts w:ascii="Arial" w:hAnsi="Arial" w:cs="Arial"/>
              <w:bCs/>
              <w:sz w:val="20"/>
              <w:lang w:val="nn-NO"/>
            </w:rPr>
          </w:pPr>
          <w:r w:rsidRPr="00DC7445">
            <w:rPr>
              <w:rFonts w:ascii="Arial" w:hAnsi="Arial" w:cs="Arial"/>
              <w:bCs/>
              <w:sz w:val="16"/>
              <w:lang w:val="nn-NO"/>
            </w:rPr>
            <w:t>Versjon:</w:t>
          </w:r>
          <w:r w:rsidRPr="00DC7445">
            <w:rPr>
              <w:rFonts w:ascii="Arial" w:hAnsi="Arial" w:cs="Arial"/>
              <w:bCs/>
              <w:sz w:val="16"/>
              <w:lang w:val="nn-NO"/>
            </w:rPr>
            <w:tab/>
          </w:r>
          <w:r w:rsidRPr="00DC7445">
            <w:rPr>
              <w:rFonts w:ascii="Arial" w:hAnsi="Arial" w:cs="Arial"/>
              <w:bCs/>
              <w:sz w:val="20"/>
            </w:rPr>
            <w:fldChar w:fldCharType="begin" w:fldLock="1"/>
          </w:r>
          <w:r w:rsidRPr="00DC7445">
            <w:rPr>
              <w:rFonts w:ascii="Arial" w:hAnsi="Arial" w:cs="Arial"/>
              <w:bCs/>
              <w:sz w:val="20"/>
              <w:lang w:val="nn-NO"/>
            </w:rPr>
            <w:instrText xml:space="preserve"> DOCPROPERTY EK_Utgave </w:instrText>
          </w:r>
          <w:r w:rsidRPr="00DC7445">
            <w:rPr>
              <w:rFonts w:ascii="Arial" w:hAnsi="Arial" w:cs="Arial"/>
              <w:bCs/>
              <w:sz w:val="20"/>
            </w:rPr>
            <w:fldChar w:fldCharType="separate"/>
          </w:r>
          <w:r w:rsidRPr="00DC7445">
            <w:rPr>
              <w:rFonts w:ascii="Arial" w:hAnsi="Arial" w:cs="Arial"/>
              <w:bCs/>
              <w:sz w:val="20"/>
              <w:lang w:val="nn-NO"/>
            </w:rPr>
            <w:t>1.00</w:t>
          </w:r>
          <w:r w:rsidRPr="00DC7445">
            <w:rPr>
              <w:rFonts w:ascii="Arial" w:hAnsi="Arial" w:cs="Arial"/>
              <w:bCs/>
              <w:sz w:val="20"/>
            </w:rPr>
            <w:fldChar w:fldCharType="end"/>
          </w:r>
        </w:p>
        <w:p w:rsidR="00F05185" w:rsidRPr="00DC7445" w14:paraId="31D73878" w14:textId="77777777">
          <w:pPr>
            <w:tabs>
              <w:tab w:val="left" w:pos="590"/>
            </w:tabs>
            <w:spacing w:before="20" w:after="20"/>
            <w:rPr>
              <w:rFonts w:ascii="Arial" w:hAnsi="Arial" w:cs="Arial"/>
              <w:bCs/>
            </w:rPr>
          </w:pPr>
          <w:r w:rsidRPr="00DC7445">
            <w:rPr>
              <w:rFonts w:ascii="Arial" w:hAnsi="Arial" w:cs="Arial"/>
              <w:bCs/>
              <w:sz w:val="16"/>
              <w:szCs w:val="16"/>
            </w:rPr>
            <w:t>Side:</w:t>
          </w:r>
          <w:r w:rsidRPr="00DC7445">
            <w:rPr>
              <w:rFonts w:ascii="Arial" w:hAnsi="Arial" w:cs="Arial"/>
              <w:bCs/>
              <w:sz w:val="20"/>
            </w:rPr>
            <w:tab/>
          </w:r>
          <w:r w:rsidRPr="00DC7445">
            <w:rPr>
              <w:rFonts w:ascii="Arial" w:hAnsi="Arial" w:cs="Arial"/>
              <w:bCs/>
              <w:sz w:val="20"/>
            </w:rPr>
            <w:fldChar w:fldCharType="begin"/>
          </w:r>
          <w:r w:rsidRPr="00DC7445">
            <w:rPr>
              <w:rFonts w:ascii="Arial" w:hAnsi="Arial" w:cs="Arial"/>
              <w:bCs/>
              <w:sz w:val="20"/>
            </w:rPr>
            <w:instrText xml:space="preserve">PAGE </w:instrText>
          </w:r>
          <w:r w:rsidRPr="00DC7445">
            <w:rPr>
              <w:rFonts w:ascii="Arial" w:hAnsi="Arial" w:cs="Arial"/>
              <w:bCs/>
              <w:sz w:val="20"/>
            </w:rPr>
            <w:fldChar w:fldCharType="separate"/>
          </w:r>
          <w:r w:rsidRPr="00DC7445">
            <w:rPr>
              <w:rFonts w:ascii="Arial" w:hAnsi="Arial" w:cs="Arial"/>
              <w:bCs/>
              <w:sz w:val="20"/>
              <w:lang w:val="nb-NO" w:eastAsia="nb-NO" w:bidi="ar-SA"/>
            </w:rPr>
            <w:t>2</w:t>
          </w:r>
          <w:r w:rsidRPr="00DC7445">
            <w:rPr>
              <w:rFonts w:ascii="Arial" w:hAnsi="Arial" w:cs="Arial"/>
              <w:bCs/>
              <w:sz w:val="20"/>
            </w:rPr>
            <w:fldChar w:fldCharType="end"/>
          </w:r>
          <w:r w:rsidRPr="00DC7445">
            <w:rPr>
              <w:rFonts w:ascii="Arial" w:hAnsi="Arial" w:cs="Arial"/>
              <w:bCs/>
              <w:sz w:val="20"/>
            </w:rPr>
            <w:t xml:space="preserve"> av </w:t>
          </w:r>
          <w:r w:rsidRPr="00DC7445">
            <w:rPr>
              <w:rFonts w:ascii="Arial" w:hAnsi="Arial" w:cs="Arial"/>
              <w:bCs/>
              <w:sz w:val="20"/>
            </w:rPr>
            <w:fldChar w:fldCharType="begin"/>
          </w:r>
          <w:r w:rsidRPr="00DC7445">
            <w:rPr>
              <w:rFonts w:ascii="Arial" w:hAnsi="Arial" w:cs="Arial"/>
              <w:bCs/>
              <w:sz w:val="20"/>
            </w:rPr>
            <w:instrText>NUMPAGES</w:instrText>
          </w:r>
          <w:r w:rsidRPr="00DC7445">
            <w:rPr>
              <w:rFonts w:ascii="Arial" w:hAnsi="Arial" w:cs="Arial"/>
              <w:bCs/>
              <w:sz w:val="20"/>
            </w:rPr>
            <w:fldChar w:fldCharType="separate"/>
          </w:r>
          <w:r w:rsidRPr="00DC7445">
            <w:rPr>
              <w:rFonts w:ascii="Arial" w:hAnsi="Arial" w:cs="Arial"/>
              <w:bCs/>
              <w:sz w:val="20"/>
            </w:rPr>
            <w:t>2</w:t>
          </w:r>
          <w:r w:rsidRPr="00DC7445">
            <w:rPr>
              <w:rFonts w:ascii="Arial" w:hAnsi="Arial" w:cs="Arial"/>
              <w:bCs/>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177AA7">
            <w:rPr>
              <w:rFonts w:ascii="Arial" w:hAnsi="Arial" w:cs="Arial"/>
            </w:rPr>
            <w:fldChar w:fldCharType="begin" w:fldLock="1"/>
          </w:r>
          <w:r w:rsidRPr="00177AA7">
            <w:rPr>
              <w:rFonts w:ascii="Arial" w:hAnsi="Arial" w:cs="Arial"/>
            </w:rPr>
            <w:instrText xml:space="preserve"> DOCPROPERTY EK_DokTittel \*charformat \* MERGEFORMAT </w:instrText>
          </w:r>
          <w:r w:rsidRPr="00177AA7">
            <w:rPr>
              <w:rFonts w:ascii="Arial" w:hAnsi="Arial" w:cs="Arial"/>
            </w:rPr>
            <w:fldChar w:fldCharType="separate"/>
          </w:r>
          <w:r w:rsidRPr="00177AA7">
            <w:rPr>
              <w:rFonts w:ascii="Arial" w:hAnsi="Arial" w:cs="Arial"/>
              <w:noProof/>
            </w:rPr>
            <w:t>A15-1</w:t>
          </w:r>
          <w:r w:rsidRPr="00177AA7">
            <w:rPr>
              <w:rFonts w:ascii="Arial" w:hAnsi="Arial" w:cs="Arial"/>
            </w:rPr>
            <w:t xml:space="preserve"> Oversikt over HMS-lovgivningen</w:t>
          </w:r>
          <w:r w:rsidRPr="00177AA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Standard</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D00280</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w:instrText>
          </w:r>
          <w:r w:rsidRPr="00D03B59">
            <w:rPr>
              <w:rFonts w:ascii="Arial" w:hAnsi="Arial" w:cs="Arial"/>
              <w:sz w:val="20"/>
            </w:rPr>
            <w:instrText xml:space="preserve">erFra </w:instrText>
          </w:r>
          <w:r w:rsidRPr="00D03B59">
            <w:rPr>
              <w:rFonts w:ascii="Arial" w:hAnsi="Arial" w:cs="Arial"/>
              <w:sz w:val="20"/>
            </w:rPr>
            <w:fldChar w:fldCharType="separate"/>
          </w:r>
          <w:r w:rsidRPr="00D03B59">
            <w:rPr>
              <w:rFonts w:ascii="Arial" w:hAnsi="Arial" w:cs="Arial"/>
              <w:sz w:val="20"/>
            </w:rPr>
            <w:t>08.01.2025</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1.00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 xml:space="preserve">PAGE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0A3D87"/>
    <w:multiLevelType w:val="multilevel"/>
    <w:tmpl w:val="659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E920AF"/>
    <w:multiLevelType w:val="multilevel"/>
    <w:tmpl w:val="48A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7A4D3A"/>
    <w:multiLevelType w:val="multilevel"/>
    <w:tmpl w:val="F668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144535">
    <w:abstractNumId w:val="1"/>
  </w:num>
  <w:num w:numId="2" w16cid:durableId="1058629966">
    <w:abstractNumId w:val="2"/>
  </w:num>
  <w:num w:numId="3" w16cid:durableId="16665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0705"/>
    <w:rsid w:val="00062585"/>
    <w:rsid w:val="0006743C"/>
    <w:rsid w:val="001064F7"/>
    <w:rsid w:val="00177AA7"/>
    <w:rsid w:val="001C6B9E"/>
    <w:rsid w:val="0021740E"/>
    <w:rsid w:val="00220D4A"/>
    <w:rsid w:val="00273DB9"/>
    <w:rsid w:val="00322F16"/>
    <w:rsid w:val="00343B5E"/>
    <w:rsid w:val="003851F2"/>
    <w:rsid w:val="00390F04"/>
    <w:rsid w:val="003D31AA"/>
    <w:rsid w:val="003F549F"/>
    <w:rsid w:val="004423E6"/>
    <w:rsid w:val="00447791"/>
    <w:rsid w:val="004A2CDA"/>
    <w:rsid w:val="004A5A49"/>
    <w:rsid w:val="00592B17"/>
    <w:rsid w:val="006156FC"/>
    <w:rsid w:val="00676F51"/>
    <w:rsid w:val="00686CA0"/>
    <w:rsid w:val="006B722C"/>
    <w:rsid w:val="0071371E"/>
    <w:rsid w:val="00715DD5"/>
    <w:rsid w:val="007170E9"/>
    <w:rsid w:val="0071712A"/>
    <w:rsid w:val="00760120"/>
    <w:rsid w:val="007768FF"/>
    <w:rsid w:val="00786320"/>
    <w:rsid w:val="0079034A"/>
    <w:rsid w:val="0079162A"/>
    <w:rsid w:val="0079383C"/>
    <w:rsid w:val="007A6D7E"/>
    <w:rsid w:val="007F4BB7"/>
    <w:rsid w:val="00821FF2"/>
    <w:rsid w:val="00843DC1"/>
    <w:rsid w:val="0084674B"/>
    <w:rsid w:val="00870E37"/>
    <w:rsid w:val="008E7928"/>
    <w:rsid w:val="0090135B"/>
    <w:rsid w:val="00915B4C"/>
    <w:rsid w:val="00916A46"/>
    <w:rsid w:val="009439AF"/>
    <w:rsid w:val="009468F1"/>
    <w:rsid w:val="0098056C"/>
    <w:rsid w:val="00982360"/>
    <w:rsid w:val="009B42DD"/>
    <w:rsid w:val="00A003CD"/>
    <w:rsid w:val="00A079C0"/>
    <w:rsid w:val="00A144F9"/>
    <w:rsid w:val="00A57352"/>
    <w:rsid w:val="00A66087"/>
    <w:rsid w:val="00AA6132"/>
    <w:rsid w:val="00AE77A8"/>
    <w:rsid w:val="00B010DF"/>
    <w:rsid w:val="00B01EF4"/>
    <w:rsid w:val="00B218FA"/>
    <w:rsid w:val="00B35574"/>
    <w:rsid w:val="00BA0802"/>
    <w:rsid w:val="00BA2BB9"/>
    <w:rsid w:val="00D03B59"/>
    <w:rsid w:val="00DC7445"/>
    <w:rsid w:val="00DD22DA"/>
    <w:rsid w:val="00E7117D"/>
    <w:rsid w:val="00E757DA"/>
    <w:rsid w:val="00E811F8"/>
    <w:rsid w:val="00E855DF"/>
    <w:rsid w:val="00EA2F48"/>
    <w:rsid w:val="00ED65EB"/>
    <w:rsid w:val="00F05185"/>
    <w:rsid w:val="00F57686"/>
    <w:rsid w:val="00FA2255"/>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table" w:styleId="TableGrid">
    <w:name w:val="Table Grid"/>
    <w:basedOn w:val="TableNormal"/>
    <w:uiPriority w:val="39"/>
    <w:rsid w:val="00DD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255"/>
    <w:rPr>
      <w:color w:val="0563C1" w:themeColor="hyperlink"/>
      <w:u w:val="single"/>
    </w:rPr>
  </w:style>
  <w:style w:type="character" w:styleId="UnresolvedMention">
    <w:name w:val="Unresolved Mention"/>
    <w:basedOn w:val="DefaultParagraphFont"/>
    <w:uiPriority w:val="99"/>
    <w:rsid w:val="00FA2255"/>
    <w:rPr>
      <w:color w:val="605E5C"/>
      <w:shd w:val="clear" w:color="auto" w:fill="E1DFDD"/>
    </w:rPr>
  </w:style>
  <w:style w:type="paragraph" w:styleId="NormalWeb">
    <w:name w:val="Normal (Web)"/>
    <w:basedOn w:val="Normal"/>
    <w:uiPriority w:val="99"/>
    <w:semiHidden/>
    <w:unhideWhenUsed/>
    <w:rsid w:val="0021740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vdata.no/dokument/SF/forskrift/1996-12-06-1127?q=internkontrol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rbeidstilsynet.no/regelverk/om-regelverket/" TargetMode="External" /><Relationship Id="rId5" Type="http://schemas.openxmlformats.org/officeDocument/2006/relationships/hyperlink" Target="https://fagskolenvt-public.dkhosting.no/docs/pub/dok00032.htm" TargetMode="External" /><Relationship Id="rId6" Type="http://schemas.openxmlformats.org/officeDocument/2006/relationships/hyperlink" Target="https://fagskolenvt-public.dkhosting.no/docs/pub/dok00150.htm" TargetMode="External" /><Relationship Id="rId7" Type="http://schemas.openxmlformats.org/officeDocument/2006/relationships/hyperlink" Target="https://lovdata.no/dokument/NL/lov/2005-06-17-62" TargetMode="External" /><Relationship Id="rId8" Type="http://schemas.openxmlformats.org/officeDocument/2006/relationships/hyperlink" Target="https://lovdata.no/dokument/NL/lov/2018-06-08-28" TargetMode="External" /><Relationship Id="rId9" Type="http://schemas.openxmlformats.org/officeDocument/2006/relationships/hyperlink" Target="https://lovdata.no/referanse/hjemmel?dokID=NL/lov/2005-06-17-62"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154</TotalTime>
  <Pages>2</Pages>
  <Words>424</Words>
  <Characters>3307</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Oversikt over HMS-lovgivningen</vt:lpstr>
      <vt:lpstr>Standard</vt:lpstr>
    </vt:vector>
  </TitlesOfParts>
  <Company>Datakvalitet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A15-1 Oversikt over HMS-lovgivningen</dc:title>
  <dc:subject>Standard|[RefNr]|</dc:subject>
  <dc:creator>Handbok</dc:creator>
  <cp:lastModifiedBy>Heidi Behring Hansen</cp:lastModifiedBy>
  <cp:revision>15</cp:revision>
  <cp:lastPrinted>2021-03-26T13:15:00Z</cp:lastPrinted>
  <dcterms:created xsi:type="dcterms:W3CDTF">2021-04-19T11:33:00Z</dcterms:created>
  <dcterms:modified xsi:type="dcterms:W3CDTF">2024-12-18T09:55:00Z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A15-1 Oversikt over HMS-lovgivningen</vt:lpwstr>
  </property>
  <property fmtid="{D5CDD505-2E9C-101B-9397-08002B2CF9AE}" pid="4" name="EK_DokType">
    <vt:lpwstr>Standard</vt:lpwstr>
  </property>
  <property fmtid="{D5CDD505-2E9C-101B-9397-08002B2CF9AE}" pid="5" name="EK_DokumentID">
    <vt:lpwstr>D00280</vt:lpwstr>
  </property>
  <property fmtid="{D5CDD505-2E9C-101B-9397-08002B2CF9AE}" pid="6" name="EK_GjelderFra">
    <vt:lpwstr>08.01.2025</vt:lpwstr>
  </property>
  <property fmtid="{D5CDD505-2E9C-101B-9397-08002B2CF9AE}" pid="7" name="EK_Signatur">
    <vt:lpwstr>Marit Hagen Øygarden</vt:lpwstr>
  </property>
  <property fmtid="{D5CDD505-2E9C-101B-9397-08002B2CF9AE}" pid="8" name="EK_Utgave">
    <vt:lpwstr>1.00</vt:lpwstr>
  </property>
  <property fmtid="{D5CDD505-2E9C-101B-9397-08002B2CF9AE}" pid="9" name="XD00032">
    <vt:lpwstr>D00032</vt:lpwstr>
  </property>
  <property fmtid="{D5CDD505-2E9C-101B-9397-08002B2CF9AE}" pid="10" name="XD00150">
    <vt:lpwstr>D00150</vt:lpwstr>
  </property>
  <property fmtid="{D5CDD505-2E9C-101B-9397-08002B2CF9AE}" pid="11" name="XDF00032">
    <vt:lpwstr>A15 Lover og forskrifter </vt:lpwstr>
  </property>
  <property fmtid="{D5CDD505-2E9C-101B-9397-08002B2CF9AE}" pid="12" name="XDF00150">
    <vt:lpwstr>A15-2 Sentrale lover med forskrifter ved behandling av personopplysninger</vt:lpwstr>
  </property>
  <property fmtid="{D5CDD505-2E9C-101B-9397-08002B2CF9AE}" pid="13" name="XDL00032">
    <vt:lpwstr>D00032 A15 Lover og forskrifter </vt:lpwstr>
  </property>
  <property fmtid="{D5CDD505-2E9C-101B-9397-08002B2CF9AE}" pid="14" name="XDL00150">
    <vt:lpwstr>D00150 A15-2 Sentrale lover med forskrifter ved behandling av personopplysninger</vt:lpwstr>
  </property>
  <property fmtid="{D5CDD505-2E9C-101B-9397-08002B2CF9AE}" pid="15" name="XDT00032">
    <vt:lpwstr>A15 Lover og forskrifter </vt:lpwstr>
  </property>
  <property fmtid="{D5CDD505-2E9C-101B-9397-08002B2CF9AE}" pid="16" name="XDT00150">
    <vt:lpwstr>A15-2 Sentrale lover med forskrifter ved behandling av personopplysninger</vt:lpwstr>
  </property>
  <property fmtid="{D5CDD505-2E9C-101B-9397-08002B2CF9AE}" pid="17" name="XR00011">
    <vt:lpwstr/>
  </property>
  <property fmtid="{D5CDD505-2E9C-101B-9397-08002B2CF9AE}" pid="18" name="XR00029">
    <vt:lpwstr/>
  </property>
  <property fmtid="{D5CDD505-2E9C-101B-9397-08002B2CF9AE}" pid="19" name="XR00035">
    <vt:lpwstr/>
  </property>
  <property fmtid="{D5CDD505-2E9C-101B-9397-08002B2CF9AE}" pid="20" name="XR00038">
    <vt:lpwstr/>
  </property>
  <property fmtid="{D5CDD505-2E9C-101B-9397-08002B2CF9AE}" pid="21" name="XRF00011">
    <vt:lpwstr>Lov om høyere yrkesfaglig utdanning (fagskoleloven)</vt:lpwstr>
  </property>
  <property fmtid="{D5CDD505-2E9C-101B-9397-08002B2CF9AE}" pid="22" name="XRF00029">
    <vt:lpwstr>Forskrift om systematisk helse-, miljø- og sikkerhetsarbeid i virksomheter (Internkontrollforskriften)</vt:lpwstr>
  </property>
  <property fmtid="{D5CDD505-2E9C-101B-9397-08002B2CF9AE}" pid="23" name="XRF00035">
    <vt:lpwstr>Oversikt over sentrale forskrifter som er hjemlet i Arbeidsmiljøloven</vt:lpwstr>
  </property>
  <property fmtid="{D5CDD505-2E9C-101B-9397-08002B2CF9AE}" pid="24" name="XRF00038">
    <vt:lpwstr>Lov om arbeidsmiljø, arbeidstid og stillingsvern mv. (arbeidsmiljøloven)</vt:lpwstr>
  </property>
  <property fmtid="{D5CDD505-2E9C-101B-9397-08002B2CF9AE}" pid="25" name="XRL00011">
    <vt:lpwstr> Lov om høyere yrkesfaglig utdanning (fagskoleloven)</vt:lpwstr>
  </property>
  <property fmtid="{D5CDD505-2E9C-101B-9397-08002B2CF9AE}" pid="26" name="XRL00029">
    <vt:lpwstr> Forskrift om systematisk helse-, miljø- og sikkerhetsarbeid i virksomheter (Internkontrollforskriften)</vt:lpwstr>
  </property>
  <property fmtid="{D5CDD505-2E9C-101B-9397-08002B2CF9AE}" pid="27" name="XRL00035">
    <vt:lpwstr> Oversikt over sentrale forskrifter som er hjemlet i Arbeidsmiljøloven</vt:lpwstr>
  </property>
  <property fmtid="{D5CDD505-2E9C-101B-9397-08002B2CF9AE}" pid="28" name="XRL00038">
    <vt:lpwstr> Lov om arbeidsmiljø, arbeidstid og stillingsvern mv. (arbeidsmiljøloven)</vt:lpwstr>
  </property>
  <property fmtid="{D5CDD505-2E9C-101B-9397-08002B2CF9AE}" pid="29" name="XRT00011">
    <vt:lpwstr>Lov om høyere yrkesfaglig utdanning (fagskoleloven)</vt:lpwstr>
  </property>
  <property fmtid="{D5CDD505-2E9C-101B-9397-08002B2CF9AE}" pid="30" name="XRT00029">
    <vt:lpwstr>Forskrift om systematisk helse-, miljø- og sikkerhetsarbeid i virksomheter (Internkontrollforskriften)</vt:lpwstr>
  </property>
  <property fmtid="{D5CDD505-2E9C-101B-9397-08002B2CF9AE}" pid="31" name="XRT00035">
    <vt:lpwstr>Oversikt over sentrale forskrifter som er hjemlet i Arbeidsmiljøloven</vt:lpwstr>
  </property>
  <property fmtid="{D5CDD505-2E9C-101B-9397-08002B2CF9AE}" pid="32" name="XRT00038">
    <vt:lpwstr>Lov om arbeidsmiljø, arbeidstid og stillingsvern mv. (arbeidsmiljøloven)</vt:lpwstr>
  </property>
</Properties>
</file>