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70659B" w:rsidP="00737579" w14:paraId="3555DF19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52205" w:rsidP="00737579" w14:paraId="5DF79E28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C52205" w:rsidRPr="00C52205" w:rsidP="00737579" w14:paraId="36EC2A7C" w14:textId="6DED1042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C52205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Denne prosedyren skal sikre at vurderinger blir gjennomført på en forsvarlig og sikker måte og sikre studentene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sine </w:t>
      </w:r>
      <w:r w:rsidRPr="00C52205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rettigheter iht. gjeldende lover og forskrifter.</w:t>
      </w:r>
      <w:r w:rsidRPr="00C52205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 </w:t>
      </w:r>
    </w:p>
    <w:p w:rsidR="00737579" w:rsidRPr="004C4723" w:rsidP="00737579" w14:paraId="0F8E4CB8" w14:textId="77777777">
      <w:pPr>
        <w:pStyle w:val="TierII"/>
        <w:numPr>
          <w:ilvl w:val="0"/>
          <w:numId w:val="0"/>
        </w:numPr>
        <w:rPr>
          <w:rFonts w:cs="Arial"/>
          <w:szCs w:val="22"/>
          <w:lang w:val="nb-NO"/>
        </w:rPr>
      </w:pPr>
    </w:p>
    <w:p w:rsidR="00C52205" w:rsidP="00737579" w14:paraId="56BAB94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70659B" w:rsidP="00C52205" w14:paraId="1403F84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70659B">
        <w:rPr>
          <w:rStyle w:val="normaltextrun"/>
          <w:rFonts w:ascii="Arial" w:hAnsi="Arial" w:cs="Arial"/>
          <w:color w:val="000000"/>
        </w:rPr>
        <w:t xml:space="preserve">Lov om høyere yrkesfaglig utdanning </w:t>
      </w:r>
      <w:r w:rsidRPr="0070659B">
        <w:rPr>
          <w:rStyle w:val="normaltextrun"/>
          <w:rFonts w:ascii="Arial" w:hAnsi="Arial" w:cs="Arial"/>
          <w:color w:val="000000"/>
        </w:rPr>
        <w:t>(fagskoleloven)</w:t>
      </w:r>
    </w:p>
    <w:p w:rsidR="00C52205" w:rsidP="00737579" w14:paraId="40C8F68E" w14:textId="5B49C040">
      <w:pPr>
        <w:pStyle w:val="TierII"/>
        <w:numPr>
          <w:ilvl w:val="0"/>
          <w:numId w:val="0"/>
        </w:numPr>
        <w:rPr>
          <w:rStyle w:val="normaltextrun"/>
          <w:rFonts w:cs="Arial"/>
          <w:color w:val="000000"/>
          <w:sz w:val="24"/>
          <w:szCs w:val="24"/>
          <w:lang w:val="nb-NO" w:eastAsia="nb-NO"/>
        </w:rPr>
      </w:pPr>
      <w:r w:rsidRPr="0070659B">
        <w:rPr>
          <w:rStyle w:val="normaltextrun"/>
          <w:rFonts w:cs="Arial"/>
          <w:color w:val="000000"/>
          <w:sz w:val="24"/>
          <w:szCs w:val="24"/>
          <w:lang w:val="nb-NO" w:eastAsia="nb-NO"/>
        </w:rPr>
        <w:t>Forskrift om høyere yrkesfaglig utdanning (fagskoleforskriften)</w:t>
      </w:r>
    </w:p>
    <w:p w:rsidR="0070659B" w:rsidP="00737579" w14:paraId="37614EB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52205" w:rsidP="00E77B10" w14:paraId="5511548D" w14:textId="14E57DA4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C52205" w:rsidP="00C52205" w14:paraId="3FB8EFF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Styret</w:t>
      </w:r>
      <w:r>
        <w:rPr>
          <w:rStyle w:val="eop"/>
          <w:rFonts w:ascii="Arial" w:hAnsi="Arial" w:cs="Arial"/>
        </w:rPr>
        <w:t> </w:t>
      </w:r>
    </w:p>
    <w:p w:rsidR="00C52205" w:rsidP="00C52205" w14:paraId="70FD8F9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Rektor</w:t>
      </w:r>
    </w:p>
    <w:p w:rsidR="00C52205" w:rsidP="00C52205" w14:paraId="4A7AAC4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Avdelingsleder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Arial" w:hAnsi="Arial" w:cs="Arial"/>
        </w:rPr>
        <w:t> </w:t>
      </w:r>
    </w:p>
    <w:p w:rsidR="00C52205" w:rsidP="00C52205" w14:paraId="5F2F4B7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Faglærer</w:t>
      </w:r>
      <w:r>
        <w:rPr>
          <w:rStyle w:val="eop"/>
          <w:rFonts w:ascii="Arial" w:hAnsi="Arial" w:cs="Arial"/>
        </w:rPr>
        <w:t> </w:t>
      </w:r>
    </w:p>
    <w:p w:rsidR="00C52205" w:rsidP="00C52205" w14:paraId="26973D91" w14:textId="71EFF1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Studieadministrasjon</w:t>
      </w:r>
    </w:p>
    <w:p w:rsidR="00B1789D" w:rsidP="00737579" w14:paraId="723E9251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52205" w:rsidP="00737579" w14:paraId="14E1948A" w14:textId="1ABA2588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70659B" w:rsidRPr="0070659B" w:rsidP="0070659B" w14:paraId="4DF7BA85" w14:textId="205A723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0659B">
        <w:rPr>
          <w:rStyle w:val="normaltextrun"/>
          <w:rFonts w:ascii="Arial" w:hAnsi="Arial" w:cs="Arial"/>
        </w:rPr>
        <w:t xml:space="preserve">Prosedyren gjelder for styret, rektor, faglærere, avdelingsledere og </w:t>
      </w:r>
      <w:r>
        <w:rPr>
          <w:rStyle w:val="normaltextrun"/>
          <w:rFonts w:ascii="Arial" w:hAnsi="Arial" w:cs="Arial"/>
        </w:rPr>
        <w:t>studieadministrasjon</w:t>
      </w:r>
    </w:p>
    <w:p w:rsidR="00B1789D" w:rsidP="00737579" w14:paraId="010A2F2C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B1789D" w:rsidP="00737579" w14:paraId="28BD9AC4" w14:textId="65802B4E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AC19E5" w:rsidRPr="005F0F7B" w:rsidP="00AC19E5" w14:paraId="0D256DC1" w14:textId="4F4850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F0F7B">
        <w:rPr>
          <w:rStyle w:val="normaltextrun"/>
          <w:rFonts w:ascii="Arial" w:hAnsi="Arial" w:cs="Arial"/>
        </w:rPr>
        <w:t>Retningslinjer</w:t>
      </w:r>
      <w:r w:rsidRPr="005F0F7B">
        <w:rPr>
          <w:rStyle w:val="normaltextrun"/>
          <w:rFonts w:ascii="Arial" w:hAnsi="Arial" w:cs="Arial"/>
        </w:rPr>
        <w:t xml:space="preserve"> for vurderingsordninger ved fagskolen beskriver hvordan vurderingen på emnet skal være, dvs. sluttvurdering i emnet, og hvilke vurderingsordninger som skal benyttes. </w:t>
      </w:r>
    </w:p>
    <w:p w:rsidR="00AC19E5" w:rsidP="00B1789D" w14:paraId="5A80756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B1789D" w:rsidP="00B1789D" w14:paraId="5E177B7B" w14:textId="40469C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F7B">
        <w:rPr>
          <w:rStyle w:val="normaltextrun"/>
          <w:rFonts w:ascii="Arial" w:hAnsi="Arial" w:cs="Arial"/>
        </w:rPr>
        <w:t>Vurderinger kan være med (</w:t>
      </w:r>
      <w:r w:rsidRPr="005F0F7B">
        <w:rPr>
          <w:rStyle w:val="normaltextrun"/>
          <w:rFonts w:ascii="Arial" w:hAnsi="Arial" w:cs="Arial"/>
        </w:rPr>
        <w:t>bokstavkarakter A til F</w:t>
      </w:r>
      <w:r w:rsidRPr="005F0F7B">
        <w:rPr>
          <w:rStyle w:val="normaltextrun"/>
          <w:rFonts w:ascii="Arial" w:hAnsi="Arial" w:cs="Arial"/>
        </w:rPr>
        <w:t>)</w:t>
      </w:r>
      <w:r>
        <w:rPr>
          <w:rStyle w:val="normaltextrun"/>
          <w:rFonts w:ascii="Arial" w:hAnsi="Arial" w:cs="Arial"/>
        </w:rPr>
        <w:t xml:space="preserve"> </w:t>
      </w:r>
      <w:r w:rsidRPr="005F0F7B">
        <w:rPr>
          <w:rStyle w:val="normaltextrun"/>
          <w:rFonts w:ascii="Arial" w:hAnsi="Arial" w:cs="Arial"/>
        </w:rPr>
        <w:t>eller uten karakter</w:t>
      </w:r>
      <w:r w:rsidRPr="005F0F7B" w:rsidR="00AC19E5">
        <w:rPr>
          <w:rStyle w:val="normaltextrun"/>
          <w:rFonts w:ascii="Arial" w:hAnsi="Arial" w:cs="Arial"/>
        </w:rPr>
        <w:t xml:space="preserve"> </w:t>
      </w:r>
      <w:r w:rsidRPr="005F0F7B">
        <w:rPr>
          <w:rStyle w:val="normaltextrun"/>
          <w:rFonts w:ascii="Arial" w:hAnsi="Arial" w:cs="Arial"/>
        </w:rPr>
        <w:t>(</w:t>
      </w:r>
      <w:r w:rsidRPr="005F0F7B" w:rsidR="00AC19E5">
        <w:rPr>
          <w:rStyle w:val="normaltextrun"/>
          <w:rFonts w:ascii="Arial" w:hAnsi="Arial" w:cs="Arial"/>
        </w:rPr>
        <w:t>bestått/ikke bestått)</w:t>
      </w:r>
      <w:r w:rsidRPr="005F0F7B">
        <w:rPr>
          <w:rStyle w:val="normaltextrun"/>
          <w:rFonts w:ascii="Arial" w:hAnsi="Arial" w:cs="Arial"/>
        </w:rPr>
        <w:t xml:space="preserve"> og kan omfatte ulike typer av innleveringer, fremføringer, oppgaver, </w:t>
      </w:r>
      <w:r w:rsidRPr="005F0F7B">
        <w:rPr>
          <w:rStyle w:val="normaltextrun"/>
          <w:rFonts w:ascii="Arial" w:hAnsi="Arial" w:cs="Arial"/>
        </w:rPr>
        <w:t>caser</w:t>
      </w:r>
      <w:r w:rsidRPr="005F0F7B">
        <w:rPr>
          <w:rStyle w:val="normaltextrun"/>
          <w:rFonts w:ascii="Arial" w:hAnsi="Arial" w:cs="Arial"/>
        </w:rPr>
        <w:t>, prosjekter, miniprosjekter, læringsnotater, tester, prøver</w:t>
      </w:r>
      <w:r>
        <w:rPr>
          <w:rStyle w:val="normaltextrun"/>
          <w:rFonts w:ascii="Arial" w:hAnsi="Arial" w:cs="Arial"/>
        </w:rPr>
        <w:t>, sluttvurdering</w:t>
      </w:r>
      <w:r w:rsidRPr="005F0F7B">
        <w:rPr>
          <w:rStyle w:val="normaltextrun"/>
          <w:rFonts w:ascii="Arial" w:hAnsi="Arial" w:cs="Arial"/>
        </w:rPr>
        <w:t xml:space="preserve"> og eksamener</w:t>
      </w:r>
      <w:r w:rsidRPr="005F0F7B"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B1789D" w:rsidP="00B1789D" w14:paraId="5653631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273A61" w:rsidP="00B1789D" w14:paraId="6CDDB048" w14:textId="0FC0B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F0F7B">
        <w:rPr>
          <w:rStyle w:val="normaltextrun"/>
          <w:rFonts w:ascii="Arial" w:hAnsi="Arial" w:cs="Arial"/>
        </w:rPr>
        <w:t xml:space="preserve">I den enkelte studieplan går det fram hvilken vurderingsordning som benyttes i det </w:t>
      </w:r>
      <w:r w:rsidRPr="005F0F7B">
        <w:rPr>
          <w:rStyle w:val="normaltextrun"/>
          <w:rFonts w:ascii="Arial" w:hAnsi="Arial" w:cs="Arial"/>
        </w:rPr>
        <w:t>enkelte emne og hvilket vurderingsuttrykk som benyttes.</w:t>
      </w:r>
    </w:p>
    <w:p w:rsidR="00273A61" w:rsidP="00B1789D" w14:paraId="6021065B" w14:textId="360159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 </w:t>
      </w:r>
    </w:p>
    <w:p w:rsidR="00B1789D" w:rsidP="00B1789D" w14:paraId="45E90D1A" w14:textId="174BE9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Vurderinger skal være basert på tydelige vurderingskriterier som er gjort kjent for studentene, og system som skal bidra til god læring. Kriterier og system skal være transparente, og inneha mulighe</w:t>
      </w:r>
      <w:r>
        <w:rPr>
          <w:rStyle w:val="normaltextrun"/>
          <w:rFonts w:ascii="Arial" w:hAnsi="Arial" w:cs="Arial"/>
        </w:rPr>
        <w:t>t for å gi klare tilbakemeldinger slik at studentene kan forbedre sitt læringsutbytte.</w:t>
      </w:r>
      <w:r>
        <w:rPr>
          <w:rStyle w:val="eop"/>
          <w:rFonts w:ascii="Arial" w:hAnsi="Arial" w:cs="Arial"/>
        </w:rPr>
        <w:t> </w:t>
      </w:r>
    </w:p>
    <w:p w:rsidR="00B1789D" w:rsidP="00B1789D" w14:paraId="18A87C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1789D" w14:paraId="26EE3028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20097C31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D00183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Retningslinjer for vurderingsordninger ved Fagskolen Vestfold og Telemark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Forskrift om høyere yrkesfaglig utdanning (fagskoleforskriften)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Forskrift om høyere yrkesfaglig utdanning ved Fagskolen Vestfold og Telemark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Lov om høyere yrkesfaglig utdanning (fagskoleloven)</w:t>
              </w:r>
            </w:hyperlink>
          </w:p>
        </w:tc>
      </w:tr>
    </w:tbl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  <w:bookmarkEnd w:id="1"/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8"/>
      <w:head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QP722K Prosedyre for vurderinger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D00028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2.02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QP722K</w:t>
          </w:r>
          <w:r w:rsidRPr="006E2AC7">
            <w:rPr>
              <w:rFonts w:ascii="Arial" w:hAnsi="Arial" w:cs="Arial"/>
            </w:rPr>
            <w:t xml:space="preserve"> Prosedyre for vurderinger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D00028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11.10.2023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">
    <w:nsid w:val="71DF4C6A"/>
    <w:multiLevelType w:val="multilevel"/>
    <w:tmpl w:val="9C7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702815">
    <w:abstractNumId w:val="0"/>
  </w:num>
  <w:num w:numId="2" w16cid:durableId="38876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47086"/>
    <w:rsid w:val="00062585"/>
    <w:rsid w:val="0006743C"/>
    <w:rsid w:val="000A5999"/>
    <w:rsid w:val="001064F7"/>
    <w:rsid w:val="00107735"/>
    <w:rsid w:val="001A0B95"/>
    <w:rsid w:val="001D2B59"/>
    <w:rsid w:val="00220D4A"/>
    <w:rsid w:val="00273A61"/>
    <w:rsid w:val="00273DB9"/>
    <w:rsid w:val="0029376F"/>
    <w:rsid w:val="00343B5E"/>
    <w:rsid w:val="00377FE8"/>
    <w:rsid w:val="003A75E1"/>
    <w:rsid w:val="003D31AA"/>
    <w:rsid w:val="003D5C13"/>
    <w:rsid w:val="003F549F"/>
    <w:rsid w:val="00426066"/>
    <w:rsid w:val="004423E6"/>
    <w:rsid w:val="00447791"/>
    <w:rsid w:val="004A2CDA"/>
    <w:rsid w:val="004A5A49"/>
    <w:rsid w:val="004C4723"/>
    <w:rsid w:val="005847F3"/>
    <w:rsid w:val="00592B17"/>
    <w:rsid w:val="005D51A2"/>
    <w:rsid w:val="005D7FE1"/>
    <w:rsid w:val="005F0F7B"/>
    <w:rsid w:val="006156FC"/>
    <w:rsid w:val="0062002F"/>
    <w:rsid w:val="00675311"/>
    <w:rsid w:val="006B722C"/>
    <w:rsid w:val="006E2AC7"/>
    <w:rsid w:val="0070659B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107A"/>
    <w:rsid w:val="007A6D7E"/>
    <w:rsid w:val="007F4BB7"/>
    <w:rsid w:val="00820150"/>
    <w:rsid w:val="00821FF2"/>
    <w:rsid w:val="0084674B"/>
    <w:rsid w:val="008659AF"/>
    <w:rsid w:val="00870E37"/>
    <w:rsid w:val="008E7928"/>
    <w:rsid w:val="0090135B"/>
    <w:rsid w:val="00915B4C"/>
    <w:rsid w:val="00916A46"/>
    <w:rsid w:val="009468F1"/>
    <w:rsid w:val="009631B1"/>
    <w:rsid w:val="00A003CD"/>
    <w:rsid w:val="00A073D5"/>
    <w:rsid w:val="00A079C0"/>
    <w:rsid w:val="00A144F9"/>
    <w:rsid w:val="00A66087"/>
    <w:rsid w:val="00A867AD"/>
    <w:rsid w:val="00A95B4F"/>
    <w:rsid w:val="00AC19E5"/>
    <w:rsid w:val="00AE77A8"/>
    <w:rsid w:val="00B010DF"/>
    <w:rsid w:val="00B01EF4"/>
    <w:rsid w:val="00B03059"/>
    <w:rsid w:val="00B1789D"/>
    <w:rsid w:val="00B218FA"/>
    <w:rsid w:val="00B35574"/>
    <w:rsid w:val="00BA2BB9"/>
    <w:rsid w:val="00BF04D0"/>
    <w:rsid w:val="00C3013D"/>
    <w:rsid w:val="00C52205"/>
    <w:rsid w:val="00C640EA"/>
    <w:rsid w:val="00C847B7"/>
    <w:rsid w:val="00CC7C12"/>
    <w:rsid w:val="00D03B59"/>
    <w:rsid w:val="00D739FB"/>
    <w:rsid w:val="00DF3CC9"/>
    <w:rsid w:val="00E65507"/>
    <w:rsid w:val="00E65FC8"/>
    <w:rsid w:val="00E7117D"/>
    <w:rsid w:val="00E757DA"/>
    <w:rsid w:val="00E75E16"/>
    <w:rsid w:val="00E77B10"/>
    <w:rsid w:val="00E943F8"/>
    <w:rsid w:val="00EA2F48"/>
    <w:rsid w:val="00EB5D91"/>
    <w:rsid w:val="00ED65EB"/>
    <w:rsid w:val="00EE5543"/>
    <w:rsid w:val="00EF68F6"/>
    <w:rsid w:val="00F05185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paragraph" w:customStyle="1" w:styleId="paragraph">
    <w:name w:val="paragraph"/>
    <w:basedOn w:val="Normal"/>
    <w:rsid w:val="00C5220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52205"/>
  </w:style>
  <w:style w:type="character" w:customStyle="1" w:styleId="eop">
    <w:name w:val="eop"/>
    <w:basedOn w:val="DefaultParagraphFont"/>
    <w:rsid w:val="00C52205"/>
  </w:style>
  <w:style w:type="character" w:customStyle="1" w:styleId="tabchar">
    <w:name w:val="tabchar"/>
    <w:basedOn w:val="DefaultParagraphFont"/>
    <w:rsid w:val="00C52205"/>
  </w:style>
  <w:style w:type="character" w:styleId="CommentReference">
    <w:name w:val="annotation reference"/>
    <w:basedOn w:val="DefaultParagraphFont"/>
    <w:uiPriority w:val="99"/>
    <w:semiHidden/>
    <w:unhideWhenUsed/>
    <w:rsid w:val="00B1789D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B1789D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B1789D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B1789D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B17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183.htm" TargetMode="External" /><Relationship Id="rId5" Type="http://schemas.openxmlformats.org/officeDocument/2006/relationships/hyperlink" Target="https://lovdata.no/dokument/SF/forskrift/2019-07-11-1005" TargetMode="External" /><Relationship Id="rId6" Type="http://schemas.openxmlformats.org/officeDocument/2006/relationships/hyperlink" Target="https://lovdata.no/dokument/SF/forskrift/2023-06-22-1336?q=forskrift%20fagskolen%20vestfold" TargetMode="External" /><Relationship Id="rId7" Type="http://schemas.openxmlformats.org/officeDocument/2006/relationships/hyperlink" Target="https://lovdata.no/dokument/NL/lov/2018-06-08-28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123</TotalTime>
  <Pages>2</Pages>
  <Words>207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QP822 Prosedyre for vurderinger</vt:lpstr>
      <vt:lpstr>Standard</vt:lpstr>
    </vt:vector>
  </TitlesOfParts>
  <Company>Datakvalitet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QP722K Prosedyre for vurderinger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19</cp:revision>
  <cp:lastPrinted>2021-03-26T13:15:00Z</cp:lastPrinted>
  <dcterms:created xsi:type="dcterms:W3CDTF">2021-04-19T11:33:00Z</dcterms:created>
  <dcterms:modified xsi:type="dcterms:W3CDTF">2023-10-06T11:27:00Z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QP722K Prosedyre for vurderinger</vt:lpwstr>
  </property>
  <property fmtid="{D5CDD505-2E9C-101B-9397-08002B2CF9AE}" pid="4" name="EK_DokType">
    <vt:lpwstr>Prosedyre</vt:lpwstr>
  </property>
  <property fmtid="{D5CDD505-2E9C-101B-9397-08002B2CF9AE}" pid="5" name="EK_DokumentID">
    <vt:lpwstr>D00028</vt:lpwstr>
  </property>
  <property fmtid="{D5CDD505-2E9C-101B-9397-08002B2CF9AE}" pid="6" name="EK_GjelderFra">
    <vt:lpwstr>11.10.2023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2.02</vt:lpwstr>
  </property>
  <property fmtid="{D5CDD505-2E9C-101B-9397-08002B2CF9AE}" pid="9" name="XD00101">
    <vt:lpwstr>D00101</vt:lpwstr>
  </property>
  <property fmtid="{D5CDD505-2E9C-101B-9397-08002B2CF9AE}" pid="10" name="XD00183">
    <vt:lpwstr>D00183</vt:lpwstr>
  </property>
  <property fmtid="{D5CDD505-2E9C-101B-9397-08002B2CF9AE}" pid="11" name="XDF00101">
    <vt:lpwstr>A12 Emneplan </vt:lpwstr>
  </property>
  <property fmtid="{D5CDD505-2E9C-101B-9397-08002B2CF9AE}" pid="12" name="XDF00183">
    <vt:lpwstr>Retningslinjer for vurderingsordninger ved Fagskolen Vestfold og Telemark</vt:lpwstr>
  </property>
  <property fmtid="{D5CDD505-2E9C-101B-9397-08002B2CF9AE}" pid="13" name="XDL00101">
    <vt:lpwstr>D00101 A12 Emneplan </vt:lpwstr>
  </property>
  <property fmtid="{D5CDD505-2E9C-101B-9397-08002B2CF9AE}" pid="14" name="XDL00183">
    <vt:lpwstr>D00183 Retningslinjer for vurderingsordninger ved Fagskolen Vestfold og Telemark</vt:lpwstr>
  </property>
  <property fmtid="{D5CDD505-2E9C-101B-9397-08002B2CF9AE}" pid="15" name="XDT00101">
    <vt:lpwstr>A12 Emneplan </vt:lpwstr>
  </property>
  <property fmtid="{D5CDD505-2E9C-101B-9397-08002B2CF9AE}" pid="16" name="XDT00183">
    <vt:lpwstr>Retningslinjer for vurderingsordninger ved Fagskolen Vestfold og Telemark</vt:lpwstr>
  </property>
  <property fmtid="{D5CDD505-2E9C-101B-9397-08002B2CF9AE}" pid="17" name="XR00011">
    <vt:lpwstr/>
  </property>
  <property fmtid="{D5CDD505-2E9C-101B-9397-08002B2CF9AE}" pid="18" name="XR00012">
    <vt:lpwstr/>
  </property>
  <property fmtid="{D5CDD505-2E9C-101B-9397-08002B2CF9AE}" pid="19" name="XR00013">
    <vt:lpwstr/>
  </property>
  <property fmtid="{D5CDD505-2E9C-101B-9397-08002B2CF9AE}" pid="20" name="XRF00011">
    <vt:lpwstr>Lov om høyere yrkesfaglig utdanning (fagskoleloven)</vt:lpwstr>
  </property>
  <property fmtid="{D5CDD505-2E9C-101B-9397-08002B2CF9AE}" pid="21" name="XRF00012">
    <vt:lpwstr>Forskrift om høyere yrkesfaglig utdanning (fagskoleforskriften)</vt:lpwstr>
  </property>
  <property fmtid="{D5CDD505-2E9C-101B-9397-08002B2CF9AE}" pid="22" name="XRF00013">
    <vt:lpwstr>Forskrift om høyere yrkesfaglig utdanning ved Fagskolen Vestfold og Telemark</vt:lpwstr>
  </property>
  <property fmtid="{D5CDD505-2E9C-101B-9397-08002B2CF9AE}" pid="23" name="XRL00011">
    <vt:lpwstr> Lov om høyere yrkesfaglig utdanning (fagskoleloven)</vt:lpwstr>
  </property>
  <property fmtid="{D5CDD505-2E9C-101B-9397-08002B2CF9AE}" pid="24" name="XRL00012">
    <vt:lpwstr> Forskrift om høyere yrkesfaglig utdanning (fagskoleforskriften)</vt:lpwstr>
  </property>
  <property fmtid="{D5CDD505-2E9C-101B-9397-08002B2CF9AE}" pid="25" name="XRL00013">
    <vt:lpwstr> Forskrift om høyere yrkesfaglig utdanning ved Fagskolen Vestfold og Telemark</vt:lpwstr>
  </property>
  <property fmtid="{D5CDD505-2E9C-101B-9397-08002B2CF9AE}" pid="26" name="XRT00011">
    <vt:lpwstr>Lov om høyere yrkesfaglig utdanning (fagskoleloven)</vt:lpwstr>
  </property>
  <property fmtid="{D5CDD505-2E9C-101B-9397-08002B2CF9AE}" pid="27" name="XRT00012">
    <vt:lpwstr>Forskrift om høyere yrkesfaglig utdanning (fagskoleforskriften)</vt:lpwstr>
  </property>
  <property fmtid="{D5CDD505-2E9C-101B-9397-08002B2CF9AE}" pid="28" name="XRT00013">
    <vt:lpwstr>Forskrift om høyere yrkesfaglig utdanning ved Fagskolen Vestfold og Telemark</vt:lpwstr>
  </property>
</Properties>
</file>